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Akropolis Group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BB+ stable (affirmed 2025-12-15); Fitch BB+ stable (affirmed 2026-07-13)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Akropolis owns shopping centres in Lithuania and Latvia and is rated BB+ (stable) by S&amp;P and Fitch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Occupancy 99.2%, bond covenants met with headroom: leverage 46% (limit 60%), coverage 3.3x (minimum 2x)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56.6 EUR m</w:t>
            </w:r>
          </w:p>
          <w:p>
            <w:r>
              <w:rPr>
                <w:color w:val="5F6B7A"/>
                <w:sz w:val="16"/>
              </w:rPr>
              <w:t>▲ 27.8 %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37.0 EUR m</w:t>
            </w:r>
          </w:p>
          <w:p>
            <w:r>
              <w:rPr>
                <w:color w:val="5F6B7A"/>
                <w:sz w:val="16"/>
              </w:rPr>
              <w:t>▲ 21.3 %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LTV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41.7%</w:t>
            </w:r>
          </w:p>
          <w:p>
            <w:r>
              <w:rPr>
                <w:color w:val="5F6B7A"/>
                <w:sz w:val="16"/>
              </w:rPr>
              <w:t>▲ 4.7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interest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3.3x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5.3x*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LTV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41.7%*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interest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140.0m (124.9m), EBITDA EUR 98.3m (87.8m), profit EUR 88.1m (61.6m); portfolio value EUR 1,424m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Borrowings EUR 691.7m and cash EUR 107.1m at 2026-06-30; average cost of debt 4.8%, average maturity 3.3 years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Redeemed in 2025 after issuing EUR 350m 6% bonds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Fully allocated (2026)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Permit received, financing decision under review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 decision yet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29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Commercial real estate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22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All five centres hold BREEAM In-Use 'Very Good'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and ISO 45001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green finance framework with a Sustainalytics opinion</w:t>
      </w:r>
      <w:hyperlink r:id="rId30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EUR 350m bond proceeds are fully allocated to green buildings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board had no independent members at end-2025</w:t>
      </w:r>
      <w:hyperlink r:id="rId31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Real Estate policy</w:t>
      </w:r>
      <w:hyperlink r:id="rId32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Building certification, an environmental management system, a first CSRD sustainability report with limited assurance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high sustainability standards.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 ESRS sustainability statement and green bond allocation are published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Certified green buildings and green bonds.</w:t>
      </w:r>
    </w:p>
    <w:p>
      <w:r>
        <w:rPr>
          <w:i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1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Akropolis Group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1" Type="http://schemas.openxmlformats.org/officeDocument/2006/relationships/hyperlink" Target="https://akropolis.eu/view-file/751_Akropolis%20-%20review%202026%20H1.pdf#page=5" TargetMode="External"/><Relationship Id="rId12" Type="http://schemas.openxmlformats.org/officeDocument/2006/relationships/hyperlink" Target="https://akropolis.eu/view-file/751_Akropolis%20-%20review%202026%20H1.pdf#page=7" TargetMode="External"/><Relationship Id="rId13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4" Type="http://schemas.openxmlformats.org/officeDocument/2006/relationships/hyperlink" Target="https://akropolis.eu/view-file/751_Akropolis%20-%20review%202026%20H1.pdf#page=11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6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0" Type="http://schemas.openxmlformats.org/officeDocument/2006/relationships/hyperlink" Target="https://akropolis.eu/view-file/751_Akropolis%20-%20review%202026%20H1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3" Type="http://schemas.openxmlformats.org/officeDocument/2006/relationships/hyperlink" Target="https://akropolis.eu/view-file/751_Akropolis%20-%20review%202026%20H1.pdf#page=14" TargetMode="External"/><Relationship Id="rId24" Type="http://schemas.openxmlformats.org/officeDocument/2006/relationships/hyperlink" Target="https://akropolis.eu/view-file/751_Akropolis%20-%20review%202026%20H1.pdf#page=6" TargetMode="External"/><Relationship Id="rId25" Type="http://schemas.openxmlformats.org/officeDocument/2006/relationships/hyperlink" Target="https://akropolis.eu/view-file/739_AKROPOLIS%20GROUP,%20UAB%20Konsoliduotoji%20metin%C4%97%20vadovyb%C4%97s%20ataskaita%202025.pdf#page=6" TargetMode="External"/><Relationship Id="rId2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7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28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0" Type="http://schemas.openxmlformats.org/officeDocument/2006/relationships/hyperlink" Target="https://akropolis.eu/view-file/739_AKROPOLIS%20GROUP,%20UAB%20Konsoliduotoji%20metin%C4%97%20vadovyb%C4%97s%20ataskaita%202025.pdf#page=4" TargetMode="External"/><Relationship Id="rId31" Type="http://schemas.openxmlformats.org/officeDocument/2006/relationships/hyperlink" Target="https://akropolis.eu/view-file/739_AKROPOLIS%20GROUP,%20UAB%20Konsoliduotoji%20metin%C4%97%20vadovyb%C4%97s%20ataskaita%202025.pdf#page=25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