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Bigbank</w:t>
      </w:r>
    </w:p>
    <w:p>
      <w:r>
        <w:rPr>
          <w:color w:val="5F6B7A"/>
          <w:sz w:val="24"/>
        </w:rPr>
        <w:t>Emitento apžvalga · 9M2026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Ba1 long-term deposit rating, outlook negative; BCA ba2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Q4 2026 and annual results - expected February 2027 (monthly results 2026-11-12)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9 mėn. pelnas 30,1 mln. EUR (30,2 mln.), paskolos per metus +27 %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CET1 13,2 % – gerokai virš turimos AT1 obligacijos nurašymo ribos (7 %)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Stebėtina: Moody's perspektyva neigiama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30,1 mln. EUR</w:t>
            </w:r>
          </w:p>
          <w:p>
            <w:r>
              <w:rPr>
                <w:color w:val="5F6B7A"/>
                <w:sz w:val="16"/>
              </w:rPr>
              <w:t>▼ 0,3 %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12,9 %</w:t>
            </w:r>
          </w:p>
          <w:p>
            <w:r>
              <w:rPr>
                <w:color w:val="5F6B7A"/>
                <w:sz w:val="16"/>
              </w:rPr>
              <w:t>▼ 1,4 p. p.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13,2 %</w:t>
            </w:r>
          </w:p>
          <w:p>
            <w:r>
              <w:rPr>
                <w:color w:val="5F6B7A"/>
                <w:sz w:val="16"/>
              </w:rPr>
              <w:t>▼ 0,2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Bendrasis kapitalo rodiklis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19,2 %</w:t>
            </w:r>
          </w:p>
          <w:p>
            <w:r>
              <w:rPr>
                <w:color w:val="5F6B7A"/>
                <w:sz w:val="16"/>
              </w:rPr>
              <w:t>▲ 0,5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2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8,5 %*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3,0 %*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Estijos kapitalo bankas, veikiantis 9 šalyse; daugiau nei 222 000 aktyvių klientų; tikslas – tapti pagrindiniu banku Baltijos šalyse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pelnas 37,9 mln. EUR (32,3 mln.), ROE 13,3 % (12,5 %), CET1 13,4 % (13,1 %), bendras kapitalas 18,7 % (18,2 %)</w:t>
      </w:r>
      <w:hyperlink r:id="rId18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9M 2026 ROE 12,9 %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Paskutiniais strategijos metais ROE gerokai žemiau tikslo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išmokėta 8,0 mln.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politiką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apskaičiuota įrankio), su priežiūros institucijos leidimu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(vartojimo, būsto ir verslo paskolos)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Išskirtuose sektoriuose veiklos nėra</w:t>
      </w:r>
      <w:hyperlink r:id="rId13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Naujų neigiamų naujienų nerasta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Anksčiau: 2024 m.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Finansų inspekcija nurodė pagerinti kredito rizikos nurašymų metodiką, baudos nebuvo</w:t>
      </w:r>
      <w:hyperlink r:id="rId27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Metinėje ataskaitoje yra tvarumo ataskaita (nuo p.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40)</w:t>
      </w:r>
      <w:hyperlink r:id="rId28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Tvarumo ataskaita rengiama pagal ESRS, su užtikrinimo išvada</w:t>
      </w:r>
      <w:hyperlink r:id="rId28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</w:t>
      </w:r>
      <w:hyperlink r:id="rId29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Reguliuojamas ES bankas su tvarumo ataskaita</w:t>
      </w:r>
      <w:hyperlink r:id="rId28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Tvarumo rodikliai skelbiami metinėje ataskaitoje</w:t>
      </w:r>
      <w:hyperlink r:id="rId28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2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2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8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5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6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7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8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8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Bigbank · 9M2026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nvestor.bigbank.eu/et/reporting/" TargetMode="External"/><Relationship Id="rId11" Type="http://schemas.openxmlformats.org/officeDocument/2006/relationships/hyperlink" Target="https://investor.bigbank.eu/et" TargetMode="External"/><Relationship Id="rId12" Type="http://schemas.openxmlformats.org/officeDocument/2006/relationships/hyperlink" Target="https://static.bigbank.eu/investor/assets/2026/10/Bigbank_vahearuanne_kv3_2026.pdf#page=7" TargetMode="External"/><Relationship Id="rId13" Type="http://schemas.openxmlformats.org/officeDocument/2006/relationships/hyperlink" Target="https://www.bigbank.ee/blogi/bigbanki-2026-aasta-kolmanda-kvartali-majandustulemused/" TargetMode="External"/><Relationship Id="rId14" Type="http://schemas.openxmlformats.org/officeDocument/2006/relationships/hyperlink" Target="https://static.bigbank.eu/investor/assets/2026/10/Bigbank_vahearuanne_kv3_2026.pdf#page=10" TargetMode="External"/><Relationship Id="rId15" Type="http://schemas.openxmlformats.org/officeDocument/2006/relationships/hyperlink" Target="https://investor.bigbank.eu/et/allutatud-volakirjad/?bond=at1-august-2023" TargetMode="External"/><Relationship Id="rId16" Type="http://schemas.openxmlformats.org/officeDocument/2006/relationships/hyperlink" Target="https://static.bigbank.eu/investor/assets/2026/10/Bigbank_vahearuanne_kv3_2026.pdf#page=5" TargetMode="External"/><Relationship Id="rId17" Type="http://schemas.openxmlformats.org/officeDocument/2006/relationships/hyperlink" Target="https://static.bigbank.eu/investor/assets/2026/02/Bigbank_aastaaruanne_2025.pdf#page=15" TargetMode="External"/><Relationship Id="rId18" Type="http://schemas.openxmlformats.org/officeDocument/2006/relationships/hyperlink" Target="https://static.bigbank.eu/investor/assets/2026/02/Bigbank_aastaaruanne_2025.pdf#page=18" TargetMode="External"/><Relationship Id="rId19" Type="http://schemas.openxmlformats.org/officeDocument/2006/relationships/hyperlink" Target="https://static.bigbank.eu/investor/assets/2026/02/Bigbank_aastaaruanne_2025.pdf#page=19" TargetMode="External"/><Relationship Id="rId20" Type="http://schemas.openxmlformats.org/officeDocument/2006/relationships/hyperlink" Target="https://static.bigbank.eu/investor/assets/2026/10/Bigbank_vahearuanne_kv3_2026.pdf#page=11" TargetMode="External"/><Relationship Id="rId21" Type="http://schemas.openxmlformats.org/officeDocument/2006/relationships/hyperlink" Target="https://static.bigbank.eu/investor/assets/2026/10/Bigbank_vahearuanne_kv3_2026.pdf#page=18" TargetMode="External"/><Relationship Id="rId22" Type="http://schemas.openxmlformats.org/officeDocument/2006/relationships/hyperlink" Target="https://static.bigbank.eu/investor/assets/2026/10/Bigbank_vahearuanne_kv3_2026.pdf#page=14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static.bigbank.eu/investor/assets/2026/02/Bigbank_aastaaruanne_2025.pdf#page=13" TargetMode="External"/><Relationship Id="rId25" Type="http://schemas.openxmlformats.org/officeDocument/2006/relationships/hyperlink" Target="https://static.bigbank.eu/investor/assets/2026/10/Bigbank_vahearuanne_kv3_2026.pdf#page=13" TargetMode="External"/><Relationship Id="rId26" Type="http://schemas.openxmlformats.org/officeDocument/2006/relationships/hyperlink" Target="https://static.bigbank.eu/investor/assets/2023/09/Terms-and-Conditions-of-Bigbank-AT1-Temporary-Write-Down-Notes-August-2023-2.pdf" TargetMode="External"/><Relationship Id="rId27" Type="http://schemas.openxmlformats.org/officeDocument/2006/relationships/hyperlink" Target="https://fi.ee/en/news/finantsinspektsioon-issued-precept-bigbank" TargetMode="External"/><Relationship Id="rId28" Type="http://schemas.openxmlformats.org/officeDocument/2006/relationships/hyperlink" Target="https://static.bigbank.eu/investor/assets/2026/02/Bigbank_aastaaruanne_2025.pdf#page=40" TargetMode="External"/><Relationship Id="rId2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