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Citadele banka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(2026-04-21): long-term deposits A3, senior unsecured Baa2, outlook stable; AT1 Ba3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public financial information - 2026-11-04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1H profit EUR 39.8m (−8%), ROE 13.7%; CET1 17.8%, total capital 21.6%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Citing geopolitical uncertainty, the bank paid out only 31.5% of profit as dividends, which favours bondholders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39.8 EUR m</w:t>
            </w:r>
          </w:p>
          <w:p>
            <w:r>
              <w:rPr>
                <w:color w:val="5F6B7A"/>
                <w:sz w:val="16"/>
              </w:rPr>
              <w:t>▼ 8.1 %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13.7%</w:t>
            </w:r>
          </w:p>
          <w:p>
            <w:r>
              <w:rPr>
                <w:color w:val="5F6B7A"/>
                <w:sz w:val="16"/>
              </w:rPr>
              <w:t>▼ 1.7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17.8%</w:t>
            </w:r>
          </w:p>
          <w:p>
            <w:r>
              <w:rPr>
                <w:color w:val="5F6B7A"/>
                <w:sz w:val="16"/>
              </w:rPr>
              <w:t>▼ 0.4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capital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21.6%</w:t>
            </w:r>
          </w:p>
          <w:p>
            <w:r>
              <w:rPr>
                <w:color w:val="5F6B7A"/>
                <w:sz w:val="16"/>
              </w:rPr>
              <w:t>▼ 0.7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50.3%*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13.7%*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17.8%*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21.6%*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163%*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138%*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1.9%*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EUR 3,947m (+4.9% since YE2025), deposits EUR 4,325m (calculated by the tool)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Cost/income 50.3% (47.1%), cost of risk 0.3%, stage 3 loans 1.9% (2.1%)</w:t>
      </w:r>
      <w:hyperlink r:id="rId13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Green financing in 1H EUR 56.4m (7.5% of new lending); EUR 176.2m in 2025</w:t>
      </w:r>
      <w:hyperlink r:id="rId1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On 2026-09-28 EUR 50m of senior preferred bonds (5.15%) were issued; part of the proceeds will buy back EUR 40m of subordinated bonds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1H: EUR 56.4m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progress: 75% of the annual target reached in the half year (calculated by the tool)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 book growing, ROE 13.7%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bank is not active in excluded sectors and has defined industries it does not finance due to significant negative environmental impact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or supervisory fines found (2026-10-22).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Lending Framework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financing EUR 176.2m in 2025 (2024: 102.4m), green savings EUR 52m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Member of the UN Principles for Responsible Banking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asset manager is a PRI signatory</w:t>
      </w:r>
      <w:hyperlink r:id="rId14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of net-zero financed emissions by 2050 (Transition Plan v1)</w:t>
      </w:r>
      <w:hyperlink r:id="rId1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 and the Environmental and Social &amp; Human Rights policies</w:t>
      </w:r>
      <w:hyperlink r:id="rId16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Financing exclusions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2050 climate target</w:t>
      </w:r>
      <w:hyperlink r:id="rId14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UN PRB membership</w:t>
      </w:r>
      <w:hyperlink r:id="rId14">
        <w:r>
          <w:rPr>
            <w:color w:val="2A78D6"/>
            <w:vertAlign w:val="superscript"/>
            <w:sz w:val="16"/>
          </w:rPr>
          <w:t xml:space="preserve">18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AML and sanctions training for close to 100% of staff</w:t>
      </w:r>
      <w:hyperlink r:id="rId1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 figures not found in the report.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bank is profitable, well capitalised and ESG practice is in order.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financing 11% of new lending in 2025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Women on the management board 43%, supervisory board 25%</w:t>
      </w:r>
      <w:hyperlink r:id="rId1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Green financing is growing, with a climate target and UN PRB membership.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Citadele - Ratings,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Citadele - Bonds,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3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3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3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3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4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4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4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4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3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3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4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6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14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Citadele banka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cblgroup.com/en/investors/ratings/" TargetMode="External"/><Relationship Id="rId11" Type="http://schemas.openxmlformats.org/officeDocument/2006/relationships/hyperlink" Target="https://www.cblgroup.com/en/investors/announcements/2026/citadele-issues-eur-50-million-senior-unsecured-preferred-bonds/" TargetMode="External"/><Relationship Id="rId12" Type="http://schemas.openxmlformats.org/officeDocument/2006/relationships/hyperlink" Target="https://www.cblgroup.com/en/investors/bonds/" TargetMode="External"/><Relationship Id="rId13" Type="http://schemas.openxmlformats.org/officeDocument/2006/relationships/hyperlink" Target="https://www.cblgroup.com/media/W1siZiIsIjIwMjYvMDgvMDUvNTh4c2I0cDRzM19DaXRhZGVsZV82bTIwMjZfRU4ucGRmIl1d?sha=6f81681556b09959" TargetMode="External"/><Relationship Id="rId14" Type="http://schemas.openxmlformats.org/officeDocument/2006/relationships/hyperlink" Target="https://www.cblgroup.com/media/W1siZiIsIjIwMjYvMDMvMTkvOG9icXc4MzVubV9DaXRhZGVsZV9Bbm51YWxfcmVwb3J0XzIwMjUucGRmIl1d?sha=e68c93f08d3acc0c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