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Citadele banka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(2026-04-21): long-term deposits A3, senior unsecured Baa2, outlook stable; AT1 Ba3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Q3 2026 public financial information - 2026-11-04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I pusm. pelnas 39,8 mln. EUR (−8 %), ROE 13,7 %; CET1 17,8 %, bendras kapitalas 21,6 %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Dėl geopolitinio neapibrėžtumo bankas išmokėjo tik 31,5 % pelno dividendais, o tai palanku obligacijų turėtojams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39,8 mln. EUR</w:t>
            </w:r>
          </w:p>
          <w:p>
            <w:r>
              <w:rPr>
                <w:color w:val="5F6B7A"/>
                <w:sz w:val="16"/>
              </w:rPr>
              <w:t>▼ 8,1 %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13,7 %</w:t>
            </w:r>
          </w:p>
          <w:p>
            <w:r>
              <w:rPr>
                <w:color w:val="5F6B7A"/>
                <w:sz w:val="16"/>
              </w:rPr>
              <w:t>▼ 1,7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17,8 %</w:t>
            </w:r>
          </w:p>
          <w:p>
            <w:r>
              <w:rPr>
                <w:color w:val="5F6B7A"/>
                <w:sz w:val="16"/>
              </w:rPr>
              <w:t>▼ 0,4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Bendrasis kapitalo rodiklis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21,6 %</w:t>
            </w:r>
          </w:p>
          <w:p>
            <w:r>
              <w:rPr>
                <w:color w:val="5F6B7A"/>
                <w:sz w:val="16"/>
              </w:rPr>
              <w:t>▼ 0,7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šiek tiek mažesnis:</w:t>
      </w:r>
      <w:r>
        <w:rPr>
          <w:b w:val="0"/>
        </w:rPr>
        <w:t xml:space="preserve"> I pusm. grynasis pelnas (tęsiama veikla) 39,8 mln. EUR, prieš metus 43,3 mln.; ROE 13,7 % (15,4 %). Palūkanų pajamos stabilios – 89,5 mln. EUR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 – su atsarga:</w:t>
      </w:r>
      <w:r>
        <w:rPr>
          <w:b w:val="0"/>
        </w:rPr>
        <w:t xml:space="preserve"> CET1 17,8 %, bendras kapitalas 21,6 %, LCR 163 %, NSFR 138 %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Atsargūs dividendai:</w:t>
      </w:r>
      <w:r>
        <w:rPr>
          <w:b w:val="0"/>
        </w:rPr>
        <w:t xml:space="preserve"> už 2025 m. išmokėta 25,7 mln. EUR (31,5 % pelno, planuota 50 %) dėl geopolitinio neapibrėžtumo; 2026 m. sausį baigtas 50 mln. EUR akcijų supirkimas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Vadovų pokyčiai:</w:t>
      </w:r>
      <w:r>
        <w:rPr>
          <w:b w:val="0"/>
        </w:rPr>
        <w:t xml:space="preserve"> iš valdybos išėjo S. Mizak (2026-03) ir rizikos vadovė J. Lebedinska-Ļitvinova (2026-05); naujuoju rizikos vadovu siūlomas E. Näsäkkälä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XS3060301168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Citadele 7.125% AT1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7,125 %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Additional Tier 1, temporary write-down, perpetual; fixed to first reset 2031-01-09; Moody's Ba3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XS3148256913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Citadele 3.875% fixed/floating senior preferred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3,875 %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2029-12-23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preferred, MREL-eligible; fixed to reset 2028-12-23, then 3M EURIBOR+1.70%; Moody's Baa2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94,5*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84,7*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43,3*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39,8*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8,1 %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192,5*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177,2*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89,2*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89,5*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0,3 %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234,8*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221,5*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109,4*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48,4 %*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49,2 %*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47,1 %*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50,3 %*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3,2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17,5 %*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14,6 %*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15,4 %*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13,7 %*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1,7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0,3 %*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 p. p.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3,8 %*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3 275*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3 764*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3 947*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4,9 %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4 023*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4 304*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4 325*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0,5 %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19,2 %*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18,2 %*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17,8 %*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0,4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21,4 %*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22,3 %*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21,6 %*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0,7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181 %*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163 %*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18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138 %*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2,1 %*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1,9 %*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▼ 0,2 p. p.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tadele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3 947 mln. EUR (+4,9 % nuo 2025 m. pab.), indėliai 4 325 mln. EUR (apskaičiuota įrankio)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50,3 % (47,1 %), rizikos kaina 0,3 %, trečios stadijos paskolos 1,9 % (2,1 %)</w:t>
      </w:r>
      <w:hyperlink r:id="rId13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Žaliasis finansavimas I pusm. – 56,4 mln. EUR (7,5 % naujų paskolų); 2025 m. – 176,2 mln. EUR</w:t>
      </w:r>
      <w:hyperlink r:id="rId1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pelnas (tęsiama veikla) 84,7 mln. EUR (2024 m. – 94,5 mln.), ROE 14,6 % (17,5 %); 2025 m. parduotas Šveicarijos Kaleido Privatbank</w:t>
      </w:r>
      <w:hyperlink r:id="rId1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2026-09-28 išleista 50 mln. EUR pirmaeilių obligacijų (5,15 %); dalis lėšų skirta 40 mln. EUR subordinuotoms obligacijoms supirkti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Dividendų politika: 50 % praėjusių metų pelno, jei leidžia vidiniai kapitalo tikslai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Už 2025 m. išmokėta 31,5 %; likusi 15,1 mln. EUR dalis gali būti išmokėta vėliau 2026 m.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valdyba sumažino išmoką dėl geopolitinio neapibrėžtumo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Žaliasis finansavimas: 75 mln. EUR tikslas 2026 m.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 pusm. – 56,4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Vykdoma: per pusmetį pasiekta 75 % metinio tikslo (apskaičiuota įrankio)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Vizija – tapti Baltijos šalių bankininkystės čempionu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Paskolų portfelis auga, ROE 13,7 %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Ilgalaikis tikslas.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3,875 % pirmaeilė privilegijuota (MREL) obligacija – 300 mln. EUR, fiksuota iki 2028-12-23, po to 3M EURIBOR + 1,70 %, išpirkimas 2029-12-23, reitingas Baa2; ir AT1 7,125 % neterminuota – 50 mln. EUR, pirmoji perskaičiavimo (pirkimo) data 2031-01-09, reitingas Ba3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AT1 turėtojams:</w:t>
      </w:r>
      <w:r>
        <w:rPr>
          <w:b w:val="0"/>
        </w:rPr>
        <w:t xml:space="preserve"> CET1 17,8 % gerokai viršija reikalavimus, o atsargi dividendų politika stiprina kapitalą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Savininkai:</w:t>
      </w:r>
      <w:r>
        <w:rPr>
          <w:b w:val="0"/>
        </w:rPr>
        <w:t xml:space="preserve"> Ripplewood konsorciumas 69,8 %, ERPB 27,8 %</w:t>
      </w:r>
      <w:hyperlink r:id="rId1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 2026-10-12 vyko neeilinis akcininkų susirinkimas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geras, kapitalas stiprus, finansavimas pigus. 9M rezultatai – 2026-11-04.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nevykdo veiklos išskirtuose sektoriuose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Nustatyti sektoriai, kurių nefinansuoja dėl didelio neigiamo poveikio aplinkai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ir priežiūros baudų nerasta (2026-10-22).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Žaliojo skolinimo sistema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Žaliasis finansavimas 2025 m. – 176,2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(2024 m. – 102,4 mln.), žalieji indėliai 52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JT Atsakingos bankininkystės principų narys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Turto valdymo įmonė – PRI signatarė</w:t>
      </w:r>
      <w:hyperlink r:id="rId14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nulinės finansuojamos emisijos iki 2050 m.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(pereinamojo laikotarpio planas v1)</w:t>
      </w:r>
      <w:hyperlink r:id="rId1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 bei aplinkosaugos ir socialinė / žmogaus teisių politikos</w:t>
      </w:r>
      <w:hyperlink r:id="rId16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Finansavimo išimtys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tikslas 2050 m.</w:t>
      </w:r>
      <w:hyperlink r:id="rId14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JT PRB narystė</w:t>
      </w:r>
      <w:hyperlink r:id="rId14">
        <w:r>
          <w:rPr>
            <w:color w:val="2A78D6"/>
            <w:vertAlign w:val="superscript"/>
            <w:sz w:val="16"/>
          </w:rPr>
          <w:t xml:space="preserve">18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Pinigų plovimo prevencijos ir sankcijų mokymai beveik 100 % darbuotojų</w:t>
      </w:r>
      <w:hyperlink r:id="rId14">
        <w:r>
          <w:rPr>
            <w:color w:val="2A78D6"/>
            <w:vertAlign w:val="superscript"/>
            <w:sz w:val="16"/>
          </w:rPr>
          <w:t xml:space="preserve">15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Finansuojamų emisijų skaičiai ataskaitoje nerasti.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bankas pelningas, kapitalas stiprus, ESG praktika tvarkinga.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Žaliasis finansavimas – 11 % naujų paskolų 2025 m.</w:t>
      </w:r>
      <w:hyperlink r:id="rId14">
        <w:r>
          <w:rPr>
            <w:color w:val="2A78D6"/>
            <w:vertAlign w:val="superscript"/>
            <w:sz w:val="16"/>
          </w:rPr>
          <w:t xml:space="preserve">12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Moterų dalis valdyboje 43 %, stebėtojų taryboje 25 %</w:t>
      </w:r>
      <w:hyperlink r:id="rId1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Žaliasis finansavimas auga, yra klimato tikslas ir JT PRB narystė.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Citadele - Ratings,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Citadele issues EUR 50 million senior unsecured preferred bonds (2026-09-28),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Citadele - Bonds,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Citadele - Interim report 6M 2026, p. 2,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Citadele - Interim report 6M 2026, p. 5,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3">
        <w:r>
          <w:rPr>
            <w:color w:val="2A78D6"/>
            <w:sz w:val="17"/>
          </w:rPr>
          <w:t xml:space="preserve">Citadele - Interim report 6M 2026, p. 2, 7,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Citadele - Interim report 6M 2026, p. 5, 11,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Citadele - Annual report 2025, p. 2,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3">
        <w:r>
          <w:rPr>
            <w:color w:val="2A78D6"/>
            <w:sz w:val="17"/>
          </w:rPr>
          <w:t xml:space="preserve">Citadele - Interim report 6M 2026, p. 2, 15,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3">
        <w:r>
          <w:rPr>
            <w:color w:val="2A78D6"/>
            <w:sz w:val="17"/>
          </w:rPr>
          <w:t xml:space="preserve">Citadele - Interim report 6M 2026, p. 2, 4,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3">
        <w:r>
          <w:rPr>
            <w:color w:val="2A78D6"/>
            <w:sz w:val="17"/>
          </w:rPr>
          <w:t xml:space="preserve">Citadele - Interim report 6M 2026, p. 7,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4">
        <w:r>
          <w:rPr>
            <w:color w:val="2A78D6"/>
            <w:sz w:val="17"/>
          </w:rPr>
          <w:t xml:space="preserve">Citadele - Annual report 2025, p. 24,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4">
        <w:r>
          <w:rPr>
            <w:color w:val="2A78D6"/>
            <w:sz w:val="17"/>
          </w:rPr>
          <w:t xml:space="preserve">Citadele - Annual report 2025, p. 2, 5-7,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4">
        <w:r>
          <w:rPr>
            <w:color w:val="2A78D6"/>
            <w:sz w:val="17"/>
          </w:rPr>
          <w:t xml:space="preserve">Citadele - Annual report 2025, p. 11,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4">
        <w:r>
          <w:rPr>
            <w:color w:val="2A78D6"/>
            <w:sz w:val="17"/>
          </w:rPr>
          <w:t xml:space="preserve">Citadele - Annual report 2025, p. 22,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3">
        <w:r>
          <w:rPr>
            <w:color w:val="2A78D6"/>
            <w:sz w:val="17"/>
          </w:rPr>
          <w:t xml:space="preserve">Citadele - Interim report 6M 2026, p. 2, 5,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13">
        <w:r>
          <w:rPr>
            <w:color w:val="2A78D6"/>
            <w:sz w:val="17"/>
          </w:rPr>
          <w:t xml:space="preserve">Citadele - Interim report 6M 2026, p. 11, 2026-08-05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4">
        <w:r>
          <w:rPr>
            <w:color w:val="2A78D6"/>
            <w:sz w:val="17"/>
          </w:rPr>
          <w:t xml:space="preserve">Citadele - Annual report 2025, p. 23, 2026-03-19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6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14">
        <w:r>
          <w:rPr>
            <w:color w:val="2A78D6"/>
            <w:sz w:val="17"/>
          </w:rPr>
          <w:t xml:space="preserve">Citadele - Annual report 2025, p. 20, 2026-03-19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Citadele banka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cblgroup.com/en/investors/ratings/" TargetMode="External"/><Relationship Id="rId11" Type="http://schemas.openxmlformats.org/officeDocument/2006/relationships/hyperlink" Target="https://www.cblgroup.com/en/investors/announcements/2026/citadele-issues-eur-50-million-senior-unsecured-preferred-bonds/" TargetMode="External"/><Relationship Id="rId12" Type="http://schemas.openxmlformats.org/officeDocument/2006/relationships/hyperlink" Target="https://www.cblgroup.com/en/investors/bonds/" TargetMode="External"/><Relationship Id="rId13" Type="http://schemas.openxmlformats.org/officeDocument/2006/relationships/hyperlink" Target="https://www.cblgroup.com/media/W1siZiIsIjIwMjYvMDgvMDUvNTh4c2I0cDRzM19DaXRhZGVsZV82bTIwMjZfRU4ucGRmIl1d?sha=6f81681556b09959" TargetMode="External"/><Relationship Id="rId14" Type="http://schemas.openxmlformats.org/officeDocument/2006/relationships/hyperlink" Target="https://www.cblgroup.com/media/W1siZiIsIjIwMjYvMDMvMTkvOG9icXc4MzVubV9DaXRhZGVsZV9Bbm51YWxfcmVwb3J0XzIwMjUucGRmIl1d?sha=e68c93f08d3acc0c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