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Eesti Energia (Enefit)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Baa3 stable (2026-04-08); Fitch BBB- stable (2025-07-22); the hybrid is not rated separately in the documents read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interim report - expected late October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Watch.</w:t>
            </w:r>
            <w:r>
              <w:rPr>
                <w:b w:val="0"/>
                <w:color w:val="1A1A1A"/>
                <w:sz w:val="21"/>
              </w:rPr>
              <w:t xml:space="preserve"> Eesti Energia is 100% state-owned with an investment-grade rating (Moody's Baa3, Fitch BBB-)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But leverage is high: net debt / EBITDA 4.1x (3.6x a year earlier), and FY2025 showed an EUR 82.6m loss due to impairments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 The instrument held is a subordinated hybrid whose coupon may be deferred.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(FY2025)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317.2 EUR m</w:t>
            </w:r>
          </w:p>
          <w:p>
            <w:r>
              <w:rPr>
                <w:color w:val="5F6B7A"/>
                <w:sz w:val="16"/>
              </w:rPr>
              <w:t>▼ 20.3 % vs FY2024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4.1x</w:t>
            </w:r>
          </w:p>
          <w:p>
            <w:r>
              <w:rPr>
                <w:color w:val="5F6B7A"/>
                <w:sz w:val="16"/>
              </w:rPr>
              <w:t>▲ 0.5x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1,224 EUR m</w:t>
            </w:r>
          </w:p>
          <w:p>
            <w:r>
              <w:rPr>
                <w:color w:val="5F6B7A"/>
                <w:sz w:val="16"/>
              </w:rPr>
              <w:t>▲ 10.0 %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2,045 EUR m</w:t>
            </w:r>
          </w:p>
          <w:p>
            <w:r>
              <w:rPr>
                <w:color w:val="5F6B7A"/>
                <w:sz w:val="16"/>
              </w:rPr>
              <w:t>▼ 12.3 %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Weaker quarter:</w:t>
      </w:r>
      <w:r>
        <w:rPr>
          <w:b w:val="0"/>
        </w:rPr>
        <w:t xml:space="preserve"> Q2 EBITDA EUR 55.7m (76.9m), net loss EUR 8.6m (profit 27.3m)</w:t>
      </w:r>
      <w:hyperlink r:id="rId12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Leverage rising:</w:t>
      </w:r>
      <w:r>
        <w:rPr>
          <w:b w:val="0"/>
        </w:rPr>
        <w:t xml:space="preserve"> net debt EUR 1,224m, 4.1x EBITDA (3.6x a year earlier)</w:t>
      </w:r>
      <w:hyperlink r:id="rId12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Undrawn credit lines EUR 420m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Shift to renewables:</w:t>
      </w:r>
      <w:r>
        <w:rPr>
          <w:b w:val="0"/>
        </w:rPr>
        <w:t xml:space="preserve"> 2,257 GWh of 3,623 GWh generated from renewables in 2025 (62%, calculated by the tool); 872 MW wind and 172 MW solar</w:t>
      </w:r>
      <w:hyperlink r:id="rId13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New Strategy 2030+ (2026-09-17):</w:t>
      </w:r>
      <w:r>
        <w:rPr>
          <w:b w:val="0"/>
        </w:rPr>
        <w:t xml:space="preserve"> gradual phase-out of oil shale power, up to 350 MW of cleaner dispatchable (incl. gas) capacity, separation of the power and shale oil businesses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7.875%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1,785.2*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1,646.9*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939.9*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398.2*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317.2*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20.3 % vs FY2024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-82.6*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40.5*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723.6*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459.2*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36.5 % vs FY2024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1,201*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1,254*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1,224*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10.0 %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3.02x*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3.95x*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4.1x*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2,383*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1,993*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2,045*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12.3 %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41.7%ᶜ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Electricity generation, GWh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3,791*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3,623*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4.4 % vs FY2024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/>
        </w:rPr>
        <w:t>State-owned:</w:t>
      </w:r>
      <w:r>
        <w:rPr>
          <w:b w:val="0"/>
        </w:rPr>
        <w:t xml:space="preserve"> power and heat generation (oil shale, wind, solar), shale oil, distribution grid (Elektrilevi), retail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The new Enefit 280-2 shale oil plant started up in April 2026; Elektrilevi's tariff rose 3.4% from June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FY2025 revenue EUR 1,646.9m (1,785.2m), EBITDA EUR 317.2m (398.2m), loss EUR 82.6m including EUR 197.6m impairment; investments EUR 459.2m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Equity EUR 2,045m at 2026-06-30; total assets EUR 4,901m; equity ratio about 42% (calculated by the tool)</w:t>
      </w:r>
      <w:hyperlink r:id="rId1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The state injected EUR 100m of equity in May 2025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Debt EUR 1,666m at 2026-06-30; a EUR 300m 4.6% green bond (2031) was issued on 2026-05-28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Phase out oil shale power generation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Strategy 2030+ says 'gradually' with no date; Moody's says 2030-2035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No firm date in the new strategy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Emit no more than 3.6 Mt CO2 in 2024-2027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Actual emissions not found in the reports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Awaiting data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Carbon-neutral electricity by 2045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Renewables 62% of 2025 output (calculated by the tool)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Part of output still comes from oil shale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a 7.875% perpetual subordinated hybrid, EUR 400m, issued 2024-07-15, first call 2029-07-15, annual coupon; London Stock Exchange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Ranking:</w:t>
      </w:r>
      <w:r>
        <w:rPr>
          <w:b w:val="0"/>
        </w:rPr>
        <w:t xml:space="preserve"> the hybrid ranks below all other debt; Fitch treats it as 50% equity</w:t>
      </w:r>
      <w:hyperlink r:id="rId24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lists junior subordinated debt at B1 (the document does not say whether this is this hybrid)</w:t>
      </w:r>
      <w:hyperlink r:id="rId2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Coupon deferral and reset terms were not found.</w:t>
      </w:r>
    </w:p>
    <w:p>
      <w:pPr>
        <w:pStyle w:val="ListBullet"/>
        <w:spacing w:after="60"/>
      </w:pPr>
      <w:r>
        <w:rPr>
          <w:b/>
        </w:rPr>
        <w:t>Leverage:</w:t>
      </w:r>
      <w:r>
        <w:rPr>
          <w:b w:val="0"/>
        </w:rPr>
        <w:t xml:space="preserve"> 4.1x EBITDA – high; Moody's expects EUR 400-450m of EBITDA in 2026-2027 (agency forecast)</w:t>
      </w:r>
      <w:hyperlink r:id="rId12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The state has injected equity before (EUR 125m in 2020, EUR 100m in 2025)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elevated risk – high leverage and a subordinated instrument, but strong state support.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weapons, tobacco or gambling.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Oil shale mining, shale oil and oil shale power – the SEB policy gives unconventional oil and gas a Baltic exception until 2030</w:t>
      </w:r>
      <w:hyperlink r:id="rId27">
        <w:r>
          <w:rPr>
            <w:color w:val="2A78D6"/>
            <w:vertAlign w:val="superscript"/>
            <w:sz w:val="16"/>
          </w:rPr>
          <w:t xml:space="preserve">21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Moody's expects oil shale power to end in 2030-2035</w:t>
      </w:r>
      <w:hyperlink r:id="rId10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ISS found none in 2024</w:t>
      </w:r>
      <w:hyperlink r:id="rId28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Found: on 2025-05-07 prosecutors opened a criminal case over the special audit findings (possible damage to Enefit Power)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one has been charged.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Environmental Board fined Enefit Power EUR 190,000 and EUR 110,000 for air emission breaches</w:t>
      </w:r>
      <w:hyperlink r:id="rId29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Fast wind and solar expansion (872 MW wind, 172 MW solar), a green finance framework with an ISS opinion</w:t>
      </w:r>
      <w:hyperlink r:id="rId30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Targets: carbon-neutral electricity by 2045, Net Zero 2050</w:t>
      </w:r>
      <w:hyperlink r:id="rId23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Yellow flag: the criminal case over the audit and environmental fines</w:t>
      </w:r>
      <w:hyperlink r:id="rId29">
        <w:r>
          <w:rPr>
            <w:color w:val="2A78D6"/>
            <w:vertAlign w:val="superscript"/>
            <w:sz w:val="16"/>
          </w:rPr>
          <w:t xml:space="preserve">23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Moody's ESG credit impact CIS-4, environmental E-4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Fossil Fuels</w:t>
      </w:r>
      <w:hyperlink r:id="rId27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b w:val="0"/>
          <w:color w:val="333333"/>
          <w:sz w:val="19"/>
        </w:rPr>
        <w:t xml:space="preserve"> and Electricity &amp; Renewable Energy</w:t>
      </w:r>
      <w:hyperlink r:id="rId33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 xml:space="preserve"> policies.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transition plan (Strategy 2030+), emission targets</w:t>
      </w:r>
      <w:hyperlink r:id="rId15">
        <w:r>
          <w:rPr>
            <w:color w:val="2A78D6"/>
            <w:vertAlign w:val="superscript"/>
            <w:sz w:val="16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firm oil shale exit date.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☑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Worthwhile: the oil shale exit date, as the SEB Baltic exception for unconventional oil ends in 2030</w:t>
      </w:r>
      <w:hyperlink r:id="rId27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Renewable and non-renewable generation and emission caps are reported</w:t>
      </w:r>
      <w:hyperlink r:id="rId12">
        <w:r>
          <w:rPr>
            <w:color w:val="2A78D6"/>
            <w:vertAlign w:val="superscript"/>
            <w:sz w:val="16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red flags, but oil shale activity is covered by the SEB Baltic exception only until 2030; yellow flag – the audit case and fines.</w:t>
      </w:r>
    </w:p>
    <w:p>
      <w:r>
        <w:rPr>
          <w:i/>
          <w:color w:val="5F6B7A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0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1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2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3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4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3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6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7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2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3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4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5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7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27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3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12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Eesti Energia (Enefit)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public-docs.enefit.com/ettevottest/investorile/EE-credit-opinion-update-2026-04-13.pdf#page=1" TargetMode="External"/><Relationship Id="rId11" Type="http://schemas.openxmlformats.org/officeDocument/2006/relationships/hyperlink" Target="https://public-docs.enefit.com/ettevottest/investorile/Fitch-rating.pdf#page=1" TargetMode="External"/><Relationship Id="rId12" Type="http://schemas.openxmlformats.org/officeDocument/2006/relationships/hyperlink" Target="https://public-docs.enefit.com/ettevottest/investorile/2026/Q2-2026-aruanne_EST_final.pdf#page=5" TargetMode="External"/><Relationship Id="rId13" Type="http://schemas.openxmlformats.org/officeDocument/2006/relationships/hyperlink" Target="https://public-docs.enefit.com/ettevottest/investorile/2025/EE-aruanne-2025-EN_FINAL.pdf#page=8" TargetMode="External"/><Relationship Id="rId14" Type="http://schemas.openxmlformats.org/officeDocument/2006/relationships/hyperlink" Target="https://www.enefit.com/en/investorile" TargetMode="External"/><Relationship Id="rId15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6" Type="http://schemas.openxmlformats.org/officeDocument/2006/relationships/hyperlink" Target="https://public-docs.enefit.com/ettevottest/investorile/2026/Q2-2026-aruanne_EST_final.pdf#page=30" TargetMode="External"/><Relationship Id="rId17" Type="http://schemas.openxmlformats.org/officeDocument/2006/relationships/hyperlink" Target="https://public-docs.enefit.com/ettevottest/investorile/2026/Q2-2026-aruanne_EST_final.pdf#page=32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public-docs.enefit.com/ettevottest/investorile/2026/Q2-2026-aruanne_EST_final.pdf#page=3" TargetMode="External"/><Relationship Id="rId20" Type="http://schemas.openxmlformats.org/officeDocument/2006/relationships/hyperlink" Target="https://public-docs.enefit.com/ettevottest/investorile/2026/Q2-2026-aruanne_EST_final.pdf#page=10" TargetMode="External"/><Relationship Id="rId21" Type="http://schemas.openxmlformats.org/officeDocument/2006/relationships/hyperlink" Target="https://public-docs.enefit.com/ettevottest/investorile/EE-credit-opinion-update-2026-04-13.pdf#page=3" TargetMode="External"/><Relationship Id="rId22" Type="http://schemas.openxmlformats.org/officeDocument/2006/relationships/hyperlink" Target="https://public-docs.enefit.ee/ettevottest/investorile/SPO.pdf#page=19" TargetMode="External"/><Relationship Id="rId23" Type="http://schemas.openxmlformats.org/officeDocument/2006/relationships/hyperlink" Target="https://public-docs.enefit.ee/ettevottest/investorile/SPO.pdf#page=18" TargetMode="External"/><Relationship Id="rId24" Type="http://schemas.openxmlformats.org/officeDocument/2006/relationships/hyperlink" Target="https://public-docs.enefit.com/ettevottest/investorile/Fitch-rating.pdf#page=4" TargetMode="External"/><Relationship Id="rId25" Type="http://schemas.openxmlformats.org/officeDocument/2006/relationships/hyperlink" Target="https://public-docs.enefit.com/ettevottest/investorile/EE-credit-opinion-update-2026-04-13.pdf#page=11" TargetMode="External"/><Relationship Id="rId26" Type="http://schemas.openxmlformats.org/officeDocument/2006/relationships/hyperlink" Target="https://public-docs.enefit.com/ettevottest/investorile/EE-credit-opinion-update-2026-04-13.pdf#page=8" TargetMode="External"/><Relationship Id="rId27" Type="http://schemas.openxmlformats.org/officeDocument/2006/relationships/hyperlink" Target="https://webapp.sebgroup.com/mb/mblib.nsf/dld/80AF6A2E5F88CDC2C12586B1002E33C2?opendocument" TargetMode="External"/><Relationship Id="rId28" Type="http://schemas.openxmlformats.org/officeDocument/2006/relationships/hyperlink" Target="https://public-docs.enefit.ee/ettevottest/investorile/SPO.pdf#page=21" TargetMode="External"/><Relationship Id="rId29" Type="http://schemas.openxmlformats.org/officeDocument/2006/relationships/hyperlink" Target="https://www.err.ee/1609686014/prokuratuur-algatas-eesti-energia-erikontrolli-tottu-kriminaalmenetluse" TargetMode="External"/><Relationship Id="rId30" Type="http://schemas.openxmlformats.org/officeDocument/2006/relationships/hyperlink" Target="https://public-docs.enefit.com/ettevottest/investorile/2025/EE-aruanne-2025-EN_FINAL.pdf#page=18" TargetMode="External"/><Relationship Id="rId31" Type="http://schemas.openxmlformats.org/officeDocument/2006/relationships/hyperlink" Target="https://public-docs.enefit.ee/ettevottest/investorile/SPO.pdf" TargetMode="External"/><Relationship Id="rId32" Type="http://schemas.openxmlformats.org/officeDocument/2006/relationships/hyperlink" Target="https://public-docs.enefit.com/ettevottest/investorile/EE-credit-opinion-update-2026-04-13.pdf#page=5" TargetMode="External"/><Relationship Id="rId33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