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Hepsor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nerasta (no credit rating found)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expected late October /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Hepsor posted a EUR 2.2m loss in 1H because few homes were handed over (23 vs 102)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The equity ratio fell to 23.1%, while the bond covenant requires at least 20%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Sales contracts are rising (129 homes, +36%, calculated by the tool), and revenue should follow as projects complete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6.2 EUR m</w:t>
            </w:r>
          </w:p>
          <w:p>
            <w:r>
              <w:rPr>
                <w:color w:val="5F6B7A"/>
                <w:sz w:val="16"/>
              </w:rPr>
              <w:t>▼ 71.9 %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-2.21 EUR m</w:t>
            </w:r>
          </w:p>
          <w:p>
            <w:r>
              <w:rPr>
                <w:color w:val="5F6B7A"/>
                <w:sz w:val="16"/>
              </w:rPr>
              <w:t>▼ 889.3 %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23.1%</w:t>
            </w:r>
          </w:p>
          <w:p>
            <w:r>
              <w:rPr>
                <w:color w:val="5F6B7A"/>
                <w:sz w:val="16"/>
              </w:rPr>
              <w:t>▼ 3.7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56.2 EUR m</w:t>
            </w:r>
          </w:p>
          <w:p>
            <w:r>
              <w:rPr>
                <w:color w:val="5F6B7A"/>
                <w:sz w:val="16"/>
              </w:rPr>
              <w:t>▲ 38.4 %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(calculated by the tool); cash EUR 2.5m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23.1%*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35.4m (38.4m), profit EUR 1.0m (2.1m), equity ratio 29.5% (24.8%)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Adjusted equity ratio (with subordinated shareholder loans) 37.9%; EUR 1.06m of dividends paid in 1H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Awaiting the Q3 report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pStyle w:val="ListBullet"/>
        <w:spacing w:after="60"/>
      </w:pP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1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Real estate development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says it uses innovative engineering solutions that make its buildings more energy-efficient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climate targets or sustainability report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Real Estate and Construction policy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Energy-efficient new buildings in the EU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sustainability report or transition plan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small developer with no ESG risks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New buildings are built energy-efficient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No sustainability report.</w:t>
      </w:r>
    </w:p>
    <w:p>
      <w:r>
        <w:rPr>
          <w:i/>
          <w:color w:val="5F6B7A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1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3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Hepsor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hepsor.ee/wp-content/uploads/2026/01/Hepsor-Q2_2026_ENG.pdf#page=6" TargetMode="External"/><Relationship Id="rId11" Type="http://schemas.openxmlformats.org/officeDocument/2006/relationships/hyperlink" Target="https://hepsor.ee/wp-content/uploads/2026/01/Hepsor-Q2_2026_ENG.pdf#page=20" TargetMode="External"/><Relationship Id="rId12" Type="http://schemas.openxmlformats.org/officeDocument/2006/relationships/hyperlink" Target="https://hepsor.ee/en/for-investors/bonds/bonds-2026/" TargetMode="External"/><Relationship Id="rId13" Type="http://schemas.openxmlformats.org/officeDocument/2006/relationships/hyperlink" Target="https://hepsor.ee/wp-content/uploads/2026/01/Hepsor-Q2_2026_ENG.pdf#page=4" TargetMode="External"/><Relationship Id="rId14" Type="http://schemas.openxmlformats.org/officeDocument/2006/relationships/hyperlink" Target="https://hepsor.ee/en/hepsor-reaches-record-construction-volumes-and-issues-bonds-yielding-95/" TargetMode="External"/><Relationship Id="rId15" Type="http://schemas.openxmlformats.org/officeDocument/2006/relationships/hyperlink" Target="https://hepsor.ee/en/for-investors/stock/key-financials/" TargetMode="External"/><Relationship Id="rId16" Type="http://schemas.openxmlformats.org/officeDocument/2006/relationships/hyperlink" Target="https://hepsor.ee/wp-content/uploads/2026/01/Hepsor-Q2_2026_ENG.pdf#page=29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hepsor.ee/wp-content/uploads/2026/01/Hepsor-Q2_2026_ENG.pdf#page=8" TargetMode="External"/><Relationship Id="rId19" Type="http://schemas.openxmlformats.org/officeDocument/2006/relationships/hyperlink" Target="https://hepsor.ee/wp-content/uploads/2026/01/Hepsor-Q2_2026_ENG.pdf#page=7" TargetMode="External"/><Relationship Id="rId20" Type="http://schemas.openxmlformats.org/officeDocument/2006/relationships/hyperlink" Target="https://hepsor.ee/wp-content/uploads/2026/01/Hepsor-Q2_2026_ENG.pdf#page=26" TargetMode="External"/><Relationship Id="rId21" Type="http://schemas.openxmlformats.org/officeDocument/2006/relationships/hyperlink" Target="https://hepsor.ee/en/for-investors/bonds/9-5-bond-2025-2028/" TargetMode="External"/><Relationship Id="rId2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