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Inbank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No public credit rating found</w:t>
      </w:r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late October /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8.3m (+2%), ROE 9.6%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Capital is above requirements: CET1 13.15% (requirement 9.85%), total capital 18.38% (14.66%)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8.3 EUR m</w:t>
            </w:r>
          </w:p>
          <w:p>
            <w:r>
              <w:rPr>
                <w:color w:val="5F6B7A"/>
                <w:sz w:val="16"/>
              </w:rPr>
              <w:t>▲ 2.5 %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9.6%</w:t>
            </w:r>
          </w:p>
          <w:p>
            <w:r>
              <w:rPr>
                <w:color w:val="5F6B7A"/>
                <w:sz w:val="16"/>
              </w:rPr>
              <w:t>▲ 0.3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13.15%</w:t>
            </w:r>
          </w:p>
          <w:p>
            <w:r>
              <w:rPr>
                <w:color w:val="5F6B7A"/>
                <w:sz w:val="16"/>
              </w:rPr>
              <w:t>▲ 0.12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18.38%</w:t>
            </w:r>
          </w:p>
          <w:p>
            <w:r>
              <w:rPr>
                <w:color w:val="5F6B7A"/>
                <w:sz w:val="16"/>
              </w:rPr>
              <w:t>▲ 1.07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54.3%*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9.6%*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 and rental portfolio EUR 1.32bn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Green financing in Q2 EUR 28.4m (−23%); EUR 146m in 2025 (+65%)</w:t>
      </w:r>
      <w:hyperlink r:id="rId10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Share of private loans &gt;90 days past due 2.4% (calculated by the tool)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net profit EUR 19.2m, ROE 12.3%, cost/income 54.4%, cost of risk 1.59%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Dividend for 2025 EUR 0.40 per share (EUR 4.8m)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Agreed July 2026; licensing under way, launch Q1 2027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Q2 cost of risk 1.54%, within the target range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Consumer and purchase financing and car leasing: no activity in excluded sectors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Finantsinspektsioon precepts: in 2023 to Inbank AS to remedy governance, compliance and risk management deficiencies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 October 2025 to Inbank Finance to fix consumer creditworthiness rules by mid-December 2025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fines imposed.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apart from the supervisory precepts above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financing (solar, EVs and similar) EUR 146m in 2025, +65%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financing products contribute to the Paris goals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separate net-zero target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significant yellow flags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Supervisory precepts without fines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 and the Environmental and Social &amp; Human Rights policies</w:t>
      </w:r>
      <w:hyperlink r:id="rId24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sectors, growing green financing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targets and financed emissions not found publicly.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bank is profitable with a capital buffer.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financing EUR 146m in 2025</w:t>
      </w:r>
      <w:hyperlink r:id="rId15">
        <w:r>
          <w:rPr>
            <w:color w:val="2A78D6"/>
            <w:vertAlign w:val="superscript"/>
            <w:sz w:val="16"/>
          </w:rPr>
          <w:t xml:space="preserve">13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28.4m in Q2 2026</w:t>
      </w:r>
      <w:hyperlink r:id="rId10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Green financing is growing; there were supervisory precepts on governance and credit assessment (no fines).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0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2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5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Inbank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b-cdn.inbank.eu/documents/ee/en/pdf/reports/Inbank_Interim_Report_2026_Q2.pdf#page=5" TargetMode="External"/><Relationship Id="rId11" Type="http://schemas.openxmlformats.org/officeDocument/2006/relationships/hyperlink" Target="https://ib-cdn.inbank.eu/documents/ee/en/pdf/Inbank_Risk_Disclosure_2026_Q2.pdf#page=2" TargetMode="External"/><Relationship Id="rId12" Type="http://schemas.openxmlformats.org/officeDocument/2006/relationships/hyperlink" Target="https://ib-cdn.inbank.eu/documents/ee/en/pdf/Inbank_Risk_Disclosure_2026_Q2.pdf#page=3" TargetMode="External"/><Relationship Id="rId13" Type="http://schemas.openxmlformats.org/officeDocument/2006/relationships/hyperlink" Target="https://ib-cdn.inbank.eu/documents/ee/en/pdf/Inbank_Risk_Disclosure_2026_Q2.pdf#page=4" TargetMode="External"/><Relationship Id="rId14" Type="http://schemas.openxmlformats.org/officeDocument/2006/relationships/hyperlink" Target="https://ib-cdn.inbank.eu/documents/ee/en/pdf/reports/Inbank_Interim_Report_2026_Q2.pdf#page=8" TargetMode="External"/><Relationship Id="rId15" Type="http://schemas.openxmlformats.org/officeDocument/2006/relationships/hyperlink" Target="https://inbank.eu/news/inbank-publishes-audited-annual-report-for-2025" TargetMode="External"/><Relationship Id="rId16" Type="http://schemas.openxmlformats.org/officeDocument/2006/relationships/hyperlink" Target="https://ib-cdn.inbank.eu/documents/ee/en/pdf/reports/Inbank_Interim_Report_2026_Q2.pdf#page=9" TargetMode="External"/><Relationship Id="rId17" Type="http://schemas.openxmlformats.org/officeDocument/2006/relationships/hyperlink" Target="https://inbank.eu/investors/" TargetMode="External"/><Relationship Id="rId18" Type="http://schemas.openxmlformats.org/officeDocument/2006/relationships/hyperlink" Target="https://ib-cdn.inbank.eu/documents/ee/en/pdf/reports/Inbank_Interim_Report_2026_Q2.pdf#page=20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ib-cdn.inbank.eu/documents/ee/en/pdf/reports/Inbank_Interim_Report_2026_Q2.pdf#page=11" TargetMode="External"/><Relationship Id="rId21" Type="http://schemas.openxmlformats.org/officeDocument/2006/relationships/hyperlink" Target="https://ib-cdn.inbank.eu/documents/ee/en/pdf/reports/Inbank_Interim_Report_2026_Q2.pdf#page=26" TargetMode="External"/><Relationship Id="rId22" Type="http://schemas.openxmlformats.org/officeDocument/2006/relationships/hyperlink" Target="https://fi.ee/en/news/finantsinspektsioon-issued-precept-inbank" TargetMode="External"/><Relationship Id="rId23" Type="http://schemas.openxmlformats.org/officeDocument/2006/relationships/hyperlink" Target="https://fi.ee/en/news/finantsinspektsioon-issued-precept-inbank-finance" TargetMode="External"/><Relationship Id="rId24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