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LHV Group</w:t>
      </w:r>
    </w:p>
    <w:p>
      <w:r>
        <w:rPr>
          <w:color w:val="5F6B7A"/>
          <w:sz w:val="24"/>
        </w:rPr>
        <w:t>Emitento apžvalga · 9M2026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Moody's: LHV Group senior unsecured Baa2 (positive outlook); LHV Pank deposits A3 (positive), updated 2025-09-01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October 2026 monthly results - 2026-11-17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Kapitalo atsarga sumažėjo: bendras kapitalas 20,25 %, kai vidinis tikslas 20,0 %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Tai svarbiausia turimoms Tier 2 ir AT1 obligacijoms.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81,91 mln. EUR</w:t>
            </w:r>
          </w:p>
          <w:p>
            <w:r>
              <w:rPr>
                <w:color w:val="5F6B7A"/>
                <w:sz w:val="16"/>
              </w:rPr>
              <w:t>▼ 5,0 %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14,0 %</w:t>
            </w:r>
          </w:p>
          <w:p>
            <w:r>
              <w:rPr>
                <w:color w:val="5F6B7A"/>
                <w:sz w:val="16"/>
              </w:rPr>
              <w:t>▼ 2,1 p. p.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15,28 %</w:t>
            </w:r>
          </w:p>
          <w:p>
            <w:r>
              <w:rPr>
                <w:color w:val="5F6B7A"/>
                <w:sz w:val="16"/>
              </w:rPr>
              <w:t>▼ 1,76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20,25 %</w:t>
            </w:r>
          </w:p>
          <w:p>
            <w:r>
              <w:rPr>
                <w:color w:val="5F6B7A"/>
                <w:sz w:val="16"/>
              </w:rPr>
              <w:t>▼ 3,05 p. p. vs 9M2025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Auga paskolos:</w:t>
      </w:r>
      <w:r>
        <w:rPr>
          <w:b w:val="0"/>
        </w:rPr>
        <w:t xml:space="preserve"> paskolos klientams 5 951 mln. EUR (+8,9 % nuo 2025 m. pab.; apskaičiuota įrankio), indėliai 7 735 mln. EUR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Grynosios palūkanų pajamos per 9 mėn. 190,6 mln. EUR (+8,8 %), visos pajamos 232,7 mln. EUR (+3,0 %; pokyčiai apskaičiuoti įrankio). Palūkanų marža III ketv. 2,80 % (prieš metus 2,36 %)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Trečios stadijos (neveiksnios) paskolos – 72,4 mln. EUR, apie 1,2 % paskolų (apskaičiuota įrankio)</w:t>
      </w:r>
      <w:hyperlink r:id="rId2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Nepasiektas: pelningumas 6,5 % mažesnis už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Ilgalaikis tikslas; 2026 m. eiga – pagal planą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tikslas, paskelbtas 2025 m. ataskaitoje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Už 2025 m. – 0,09 EUR akcijai; 2026 m. plane – 0,08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 pagal politiką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28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pStyle w:val="ListBullet"/>
        <w:spacing w:after="60"/>
      </w:pP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29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Viešai skelbiamas veiklų, kurios prieštarauja kredito politikai, sąrašas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Kredito politika draudžia finansuoti klientus, kurių veikla aiškiai pažeidžia žmogaus teises ar daro rimtą žalą aplinkai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EBPO gairėmis susijusių ginčų nerasta (greita paieška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Vienintelė priežiūros sankcija – 0,4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ECB bauda dėl rizikos svertinio turto skaičiavimo</w:t>
      </w:r>
      <w:hyperlink r:id="rId25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apie LHV nerasta (paieška estų ir anglų k.,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Svarbiausia byla, kurioje LHV yra reikalaujanti šalis: 2025-07 bankas pranešė Pinigų plovimo duomenų biurui ketinantis reikalauti 247,5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baudos, nes biuras be teisinio pagrindo 1 289 kartus gavo LHV klientų sąskaitų išrašus</w:t>
      </w:r>
      <w:hyperlink r:id="rId33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397"/>
      </w:pPr>
      <w:r>
        <w:rPr>
          <w:b/>
          <w:color w:val="333333"/>
          <w:sz w:val="19"/>
        </w:rPr>
        <w:t>Tvarūs produktai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Energiją taupančių būstų paskolos, elektromobilių lizingas, daugiabučių renovacijos ir energetikos projektų paskolos, EIF tvarių paskolų programa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Tikslai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Bent 50 % naujų būsto paskolų – A ir B energinės klasės, 100 % elektros iš atsinaujinančių šaltinių iki 2030 m.</w:t>
      </w:r>
      <w:hyperlink r:id="rId34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Nuo 2030 m. nebus finansuojami nauji dyzeliniai lengvieji automobiliai</w:t>
      </w:r>
      <w:hyperlink r:id="rId35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Siekia prisidėti prie Paryžiaus susitarimo tikslų ir perėjimo prie klimatui neutralios ekonomikos iki 2050 m.</w:t>
      </w:r>
      <w:hyperlink r:id="rId32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Žaliojo turto santykis – 4,86 %</w:t>
      </w:r>
      <w:hyperlink r:id="rId36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7">
        <w:r>
          <w:rPr>
            <w:color w:val="2A78D6"/>
            <w:vertAlign w:val="superscript"/>
            <w:sz w:val="16"/>
          </w:rPr>
          <w:t xml:space="preserve">38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Veiklų išimčių sąrašas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Žmogaus teisių ir aplinkos kriterijai kredito politikoje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Žmogaus teisių rizikų vertinimas</w:t>
      </w:r>
      <w:hyperlink r:id="rId38">
        <w:r>
          <w:rPr>
            <w:color w:val="2A78D6"/>
            <w:vertAlign w:val="superscript"/>
            <w:sz w:val="16"/>
          </w:rPr>
          <w:t xml:space="preserve">39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tikslai</w:t>
      </w:r>
      <w:hyperlink r:id="rId34">
        <w:r>
          <w:rPr>
            <w:color w:val="2A78D6"/>
            <w:vertAlign w:val="superscript"/>
            <w:sz w:val="16"/>
          </w:rPr>
          <w:t xml:space="preserve">34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politika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(PCAF) skaičiais neskelbiamos</w:t>
      </w:r>
      <w:hyperlink r:id="rId39">
        <w:r>
          <w:rPr>
            <w:color w:val="2A78D6"/>
            <w:vertAlign w:val="superscript"/>
            <w:sz w:val="16"/>
          </w:rPr>
          <w:t xml:space="preserve">40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bankas pelningas, likvidumas ir MREL – su atsarga, ESG praktika tvarkinga.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Nuosavos 1 apimties emisijos – 0 t CO2e, 3 apimties – 573 454 t CO2e 2025 m.</w:t>
      </w:r>
      <w:hyperlink r:id="rId40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Žaliojo turto santykis 4,86 %</w:t>
      </w:r>
      <w:hyperlink r:id="rId36">
        <w:r>
          <w:rPr>
            <w:color w:val="2A78D6"/>
            <w:vertAlign w:val="superscript"/>
            <w:sz w:val="16"/>
          </w:rPr>
          <w:t xml:space="preserve">37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grupės valdyboje ir taryboje – 30 %</w:t>
      </w:r>
      <w:hyperlink r:id="rId41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Tvarūs produktai ir aiškūs klimato tikslai; finansuojamos emisijos kol kas neskelbiamos skaičiais.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3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4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4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7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5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12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7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7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7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18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18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28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29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0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1">
        <w:r>
          <w:rPr>
            <w:color w:val="2A78D6"/>
            <w:sz w:val="17"/>
          </w:rPr>
          <w:t xml:space="preserve">LHV - ESG,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2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3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4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5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32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36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3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38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39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0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1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LHV Group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.lhv.ee/en/credit-rating" TargetMode="External"/><Relationship Id="rId11" Type="http://schemas.openxmlformats.org/officeDocument/2006/relationships/hyperlink" Target="https://www.lhv.ee/assets/files/investor/LHV_Group_Interim_Report_2026-Q3_EN.pdf" TargetMode="External"/><Relationship Id="rId12" Type="http://schemas.openxmlformats.org/officeDocument/2006/relationships/hyperlink" Target="https://www.lhv.ee/assets/files/investor/LHV_Group_Interim_Report_2026-Q3_EN.pdf#page=4" TargetMode="External"/><Relationship Id="rId13" Type="http://schemas.openxmlformats.org/officeDocument/2006/relationships/hyperlink" Target="https://www.lhv.ee/assets/files/investor/LHV_Group_Interim_Report_2026-Q3_EN.pdf#page=10" TargetMode="External"/><Relationship Id="rId14" Type="http://schemas.openxmlformats.org/officeDocument/2006/relationships/hyperlink" Target="https://www.lhv.ee/assets/files/investor/LHV_Group_Interim_Report_2026-Q3_EN.pdf#page=6" TargetMode="External"/><Relationship Id="rId15" Type="http://schemas.openxmlformats.org/officeDocument/2006/relationships/hyperlink" Target="https://investor.lhv.ee/en/financial-forecasts" TargetMode="External"/><Relationship Id="rId16" Type="http://schemas.openxmlformats.org/officeDocument/2006/relationships/hyperlink" Target="https://www.lhv.ee/assets/files/investor/LHV_Group_Annual_Report_2025-EN.pdf#page=14" TargetMode="External"/><Relationship Id="rId17" Type="http://schemas.openxmlformats.org/officeDocument/2006/relationships/hyperlink" Target="https://www.lhv.ee/assets/files/investor/LHV_Group_Annual_Report_2025-EN.pdf#page=8" TargetMode="External"/><Relationship Id="rId18" Type="http://schemas.openxmlformats.org/officeDocument/2006/relationships/hyperlink" Target="https://www.lhv.ee/assets/files/investor/LHV_Group_Annual_Report_2025-EN.pdf#page=15" TargetMode="External"/><Relationship Id="rId19" Type="http://schemas.openxmlformats.org/officeDocument/2006/relationships/hyperlink" Target="https://www.lhv.ee/assets/files/investor/LHV_Group_Interim_Report_2026-Q3_EN.pdf#page=19" TargetMode="External"/><Relationship Id="rId20" Type="http://schemas.openxmlformats.org/officeDocument/2006/relationships/hyperlink" Target="https://www.lhv.ee/assets/files/investor/LHV_Group_Interim_Report_2026-Q3_EN.pdf#page=11" TargetMode="External"/><Relationship Id="rId21" Type="http://schemas.openxmlformats.org/officeDocument/2006/relationships/hyperlink" Target="https://www.lhv.ee/assets/files/investor/LHV_Group_Interim_Report_2026-Q3_EN.pdf#page=2" TargetMode="External"/><Relationship Id="rId22" Type="http://schemas.openxmlformats.org/officeDocument/2006/relationships/hyperlink" Target="https://www.lhv.ee/assets/files/investor/LHV_Group_Interim_Report_2026-Q3_EN.pdf#page=12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lhv.ee/assets/files/investor/LHV_Group_Interim_Report_2026-Q3_EN.pdf#page=15" TargetMode="External"/><Relationship Id="rId25" Type="http://schemas.openxmlformats.org/officeDocument/2006/relationships/hyperlink" Target="https://www.lhv.ee/assets/files/investor/LHV_Group_Annual_Report_2025-EN.pdf#page=13" TargetMode="External"/><Relationship Id="rId26" Type="http://schemas.openxmlformats.org/officeDocument/2006/relationships/hyperlink" Target="https://www.lhv.ee/assets/files/investor/LHV_Group_Interim_Report_2026-Q3_EN.pdf#page=20" TargetMode="External"/><Relationship Id="rId27" Type="http://schemas.openxmlformats.org/officeDocument/2006/relationships/hyperlink" Target="https://www.lhv.ee/assets/files/investor/LHV_Group_Annual_Report_2025-EN.pdf#page=7" TargetMode="External"/><Relationship Id="rId28" Type="http://schemas.openxmlformats.org/officeDocument/2006/relationships/hyperlink" Target="https://www.lhv.ee/assets/files/investor/LHV_Group_Annual_Report_2025-EN.pdf#page=17" TargetMode="External"/><Relationship Id="rId29" Type="http://schemas.openxmlformats.org/officeDocument/2006/relationships/hyperlink" Target="https://investor.lhv.ee/en/senior-bonds" TargetMode="External"/><Relationship Id="rId30" Type="http://schemas.openxmlformats.org/officeDocument/2006/relationships/hyperlink" Target="https://investor.lhv.ee/en/subordinated-bonds" TargetMode="External"/><Relationship Id="rId31" Type="http://schemas.openxmlformats.org/officeDocument/2006/relationships/hyperlink" Target="https://www.lhv.ee/en/esg" TargetMode="External"/><Relationship Id="rId32" Type="http://schemas.openxmlformats.org/officeDocument/2006/relationships/hyperlink" Target="https://www.lhv.ee/assets/files/LHV_Group_Annual_Sustainability_Report_2025-EN.pdf#page=80" TargetMode="External"/><Relationship Id="rId33" Type="http://schemas.openxmlformats.org/officeDocument/2006/relationships/hyperlink" Target="https://www.err.ee/1609754001/lhv-nouab-rahapesu-andmeburoolt-pangasaladuse-asjas-247-miljonit" TargetMode="External"/><Relationship Id="rId34" Type="http://schemas.openxmlformats.org/officeDocument/2006/relationships/hyperlink" Target="https://www.lhv.ee/assets/files/LHV_Group_Annual_Sustainability_Report_2025-EN.pdf#page=97" TargetMode="External"/><Relationship Id="rId35" Type="http://schemas.openxmlformats.org/officeDocument/2006/relationships/hyperlink" Target="https://www.lhv.ee/assets/files/LHV_Group_Annual_Sustainability_Report_2025-EN.pdf#page=81" TargetMode="External"/><Relationship Id="rId36" Type="http://schemas.openxmlformats.org/officeDocument/2006/relationships/hyperlink" Target="https://www.lhv.ee/assets/files/LHV_Group_Annual_Sustainability_Report_2025-EN.pdf#page=95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www.lhv.ee/assets/files/LHV_Group_Annual_Sustainability_Report_2025-EN.pdf#page=90" TargetMode="External"/><Relationship Id="rId39" Type="http://schemas.openxmlformats.org/officeDocument/2006/relationships/hyperlink" Target="https://www.lhv.ee/assets/files/LHV_Group_Annual_Sustainability_Report_2025-EN.pdf#page=88" TargetMode="External"/><Relationship Id="rId40" Type="http://schemas.openxmlformats.org/officeDocument/2006/relationships/hyperlink" Target="https://www.lhv.ee/assets/files/LHV_Group_Annual_Sustainability_Report_2025-EN.pdf#page=98" TargetMode="External"/><Relationship Id="rId41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