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Altum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Latvia · State development finance institution (loans, guarantees, funds)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Key facts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Baa1 long-term issuer rating, P-2 short-term, outlook stable (affirmed 2025-01-28)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- 2026-11-26 to 2026-11-30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Country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Securities held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Altum 3,576% 5Y bond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LV0000104669  ·  3.576% · 2030-05-30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no separate rating found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Position OK.</w:t>
            </w:r>
            <w:r>
              <w:rPr>
                <w:b w:val="0"/>
                <w:color w:val="1B2430"/>
                <w:sz w:val="21"/>
              </w:rPr>
              <w:t xml:space="preserve"> Altum is Latvia's 100% state-owned development finance institution, rated Baa1 by Moody's</w:t>
            </w:r>
            <w:hyperlink r:id="rId14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 1H profit EUR 10.1m (+15%), equity ratio about 25% (own calculation), 180-day liquidity ratio 227%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Net profit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10.13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15.0 %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4.6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0.4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455.8</w:t>
            </w:r>
            <w:r>
              <w:rPr>
                <w:b w:val="0"/>
                <w:color w:val="667085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7.7 %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Equity ratio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25.4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0.5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up:</w:t>
      </w:r>
      <w:r>
        <w:rPr>
          <w:b w:val="0"/>
        </w:rPr>
        <w:t xml:space="preserve"> 1H profit EUR 10.1m (8.8m), ROE 4.6% (4.2%); net interest income EUR 10.1m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Support portfolio growing fast:</w:t>
      </w:r>
      <w:r>
        <w:rPr>
          <w:b w:val="0"/>
        </w:rPr>
        <w:t xml:space="preserve"> loans EUR 707.1m (+32% year on year), guarantees EUR 737.7m; total portfolio EUR 1,704.8m (+26%; changes are own calculation)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Risk covered:</w:t>
      </w:r>
      <w:r>
        <w:rPr>
          <w:b w:val="0"/>
        </w:rPr>
        <w:t xml:space="preserve"> total risk coverage EUR 392.7m; TCE / TMA 18.5%; 180-day liquidity 227% (387% a year ago)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New programmes:</w:t>
      </w:r>
      <w:r>
        <w:rPr>
          <w:b w:val="0"/>
        </w:rPr>
        <w:t xml:space="preserve"> a planned EUR 100m 'For Growth and Defence' fund, EUR 50m NIB funding, a 0% guarantee fee for sustainable SME projects</w:t>
      </w:r>
      <w:hyperlink r:id="rId14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Instrument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Coupon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Maturity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Issue rating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Note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LV0000104669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Altum 3,576% 5Y bond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3.576%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2030-05-30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unsecured; Moody's Baa1 issuer rating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254"/>
        <w:gridCol w:w="1314"/>
        <w:gridCol w:w="1314"/>
        <w:gridCol w:w="1314"/>
        <w:gridCol w:w="2441"/>
      </w:tblGrid>
      <w:tr>
        <w:tc>
          <w:tcPr>
            <w:tcW w:type="dxa" w:w="325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Metric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Change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32.08*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8.81*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10.13*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15.0 %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20.03*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9.79*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10.06*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2.8 %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18.8%*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39.4%*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31.4%*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8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7.4%*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4.2%*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4.6%*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0.4 p. p.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621.2*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535.9*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707.1*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31.9 %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assets, EUR m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1,730.0*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1,703.2*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1,791.9*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5.2 %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Equity, EUR m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445.7*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423.3*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455.8*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7.7 % vs 6M2025</w:t>
            </w:r>
          </w:p>
        </w:tc>
      </w:tr>
      <w:tr>
        <w:tc>
          <w:tcPr>
            <w:tcW w:type="dxa" w:w="325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Equity ratio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25.8%ᶜ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24.9%ᶜ</w:t>
            </w:r>
          </w:p>
        </w:tc>
        <w:tc>
          <w:tcPr>
            <w:tcW w:type="dxa" w:w="1314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25.4%ᶜ</w:t>
            </w:r>
          </w:p>
        </w:tc>
        <w:tc>
          <w:tcPr>
            <w:tcW w:type="dxa" w:w="24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0.5 p. p.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Colours: green change – the metric is improving, red – worsening. Latest-period cell background: green – good level, amber – average, red – weak (internal benchmarks,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taken from the report summary;  ᶜ – own calculation.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um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Altum runs state aid and development programmes:</w:t>
      </w:r>
      <w:r>
        <w:rPr>
          <w:b w:val="0"/>
        </w:rPr>
        <w:t xml:space="preserve"> loans, guarantees, venture capital funds, the Latvian Land Fund and an IPO fund</w:t>
      </w:r>
      <w:hyperlink r:id="rId16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A zero-tolerance regime for Russian residents applies from 2026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FY2025 profit EUR 32.1m, ROE 7.4%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 Equity EUR 455.8m, total assets EUR 1,791.9m, financial debt EUR 955.7m</w:t>
      </w:r>
      <w:hyperlink r:id="rId12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Bank capital adequacy requirements do not apply to Altum</w:t>
      </w:r>
      <w:hyperlink r:id="rId17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 / target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Outcome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What changed and why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Strategy 2025-2027: positive return on capital; better access to finance (climate, housing, venture capital)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 ROE 4.6%; portfolio +26%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On track: return is positive and the portfolio is growing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Met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 100m 'For Growth and Defence' fund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Planned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New plan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 held:</w:t>
      </w:r>
      <w:r>
        <w:rPr>
          <w:b w:val="0"/>
        </w:rPr>
        <w:t xml:space="preserve"> a 3.576% bond, EUR 70m, maturing 2030-05-30 (Nasdaq Riga)</w:t>
      </w:r>
      <w:hyperlink r:id="rId19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 The 0.443% bond LV0000870095 matured on 2026-10-08 and is no longer held.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Credit quality:</w:t>
      </w:r>
      <w:r>
        <w:rPr>
          <w:b w:val="0"/>
        </w:rPr>
        <w:t xml:space="preserve"> state ownership and Moody's Baa1; borrowing funds state programmes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low risk, stable metrics.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Market and environment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Demand for state support:</w:t>
      </w:r>
      <w:r>
        <w:rPr>
          <w:b w:val="0"/>
        </w:rPr>
        <w:t xml:space="preserve"> loan book +EUR 86m (+14%), mainly energy-efficiency loans for apartment buildings and investment loans</w:t>
      </w:r>
      <w:hyperlink r:id="rId20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; new transactions EUR 346m (+35%), mostly guarantees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Environment:</w:t>
      </w:r>
      <w:r>
        <w:rPr>
          <w:b w:val="0"/>
        </w:rPr>
        <w:t xml:space="preserve"> despite geopolitical uncertainty, business activity remains strong (construction, trade, manufacturing, renewables)</w:t>
      </w:r>
      <w:hyperlink r:id="rId21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; from 2026 Russian residents are fully barred from support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Outlook:</w:t>
      </w:r>
      <w:r>
        <w:rPr>
          <w:b w:val="0"/>
        </w:rPr>
        <w:t xml:space="preserve"> state programmes continue and new ones start, including a planned EUR 100m fund 'For Growth and Defence'</w:t>
      </w:r>
      <w:hyperlink r:id="rId18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Now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3 months ago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 months ago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12-month change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deposit facility rate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2.50%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2.25%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2.64%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2.34%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2.03%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2.92%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2.60%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12-month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3.25%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2.80%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2.17%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1.08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AAA government 10-year yield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3.37%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3.23%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2.72%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0.65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area inflation (HICP, annual)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1.90%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2.20%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2.40%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0.50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area rates and inflation (ECB data, end-of-month value; Euribor and inflation – monthly average). Relevant for floating-rate and reset bonds and refinancing costs.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In the press</w:t>
      </w:r>
    </w:p>
    <w:p>
      <w:pPr>
        <w:spacing w:before="40" w:after="60"/>
      </w:pPr>
      <w:r>
        <w:rPr>
          <w:b w:val="0"/>
          <w:color w:val="667085"/>
          <w:sz w:val="18"/>
        </w:rPr>
        <w:t>Automatic news scan (Google News, LV), 2026-07-30 – 2026-10-28: 2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2">
              <w:r>
                <w:rPr>
                  <w:color w:val="1B2430"/>
                  <w:sz w:val="18"/>
                </w:rPr>
                <w:t xml:space="preserve">Alūksnes putnu ferma piesaista 33 miljonus eiro no Swedbank un ALTUM</w:t>
              </w:r>
            </w:hyperlink>
            <w:r>
              <w:rPr>
                <w:b w:val="0"/>
                <w:color w:val="667085"/>
                <w:sz w:val="15"/>
              </w:rPr>
              <w:t xml:space="preserve">   Dienas Bizness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3">
              <w:r>
                <w:rPr>
                  <w:color w:val="1B2430"/>
                  <w:sz w:val="18"/>
                </w:rPr>
                <w:t xml:space="preserve">Lauku uzņēmējiem pieejama jauna "Altum" finansējuma programma</w:t>
              </w:r>
            </w:hyperlink>
            <w:r>
              <w:rPr>
                <w:b w:val="0"/>
                <w:color w:val="667085"/>
                <w:sz w:val="15"/>
              </w:rPr>
              <w:t xml:space="preserve">   Lasi.lv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State development finance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activity in excluded sectors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found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Cooperation with Russian and Belarusian parties is restricted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US OFAC consolidated sanctions lists (automatic check 2026-10-28).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Manual check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sanctions search</w:t>
            </w:r>
            <w:hyperlink r:id="rId24">
              <w:r>
                <w:rPr>
                  <w:color w:val="2A78D6"/>
                  <w:vertAlign w:val="superscript"/>
                  <w:sz w:val="15"/>
                </w:rPr>
                <w:t xml:space="preserve">13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EU Sanctions Map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14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(internal SEB system).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2026-07-30 – 2026-10-28: 2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Transition finance products for SMEs and agriculture, the EIB Green Checker for sustainable loans (pricing discount), a 0% guarantee fee for sustainable projects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Aims to reduce CO2 emissions of the financed portfolio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 and the Environmental and Social &amp; Human Rights policies</w:t>
            </w:r>
            <w:hyperlink r:id="rId27">
              <w:r>
                <w:rPr>
                  <w:color w:val="2A78D6"/>
                  <w:vertAlign w:val="superscript"/>
                  <w:sz w:val="15"/>
                </w:rPr>
                <w:t xml:space="preserve">16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State-controlled development institution, sustainability criteria in financing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, sanctions risk management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a state institution with a clear mandate.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Sustainable loans assessed with the EIB Green Checker and a portfolio emission reduction goal</w:t>
            </w:r>
            <w:hyperlink r:id="rId2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A state development institution promoting sustainable finance.</w:t>
      </w:r>
    </w:p>
    <w:p>
      <w:pPr>
        <w:spacing w:before="40" w:after="60"/>
      </w:pPr>
      <w:r>
        <w:rPr>
          <w:b w:val="0"/>
          <w:color w:val="667085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Altum - Interim report 6M 2026 (unaudited), p. 3,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Nasdaq Baltic - Altum reports list, 2026-10-19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Altum - Interim report 6M 2026 (unaudited),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2">
        <w:r>
          <w:rPr>
            <w:color w:val="2A78D6"/>
            <w:sz w:val="17"/>
          </w:rPr>
          <w:t xml:space="preserve">Altum - Interim report 6M 2026 (unaudited),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4">
        <w:r>
          <w:rPr>
            <w:color w:val="2A78D6"/>
            <w:sz w:val="17"/>
          </w:rPr>
          <w:t xml:space="preserve">Altum - Interim report 6M 2026 (unaudited), p. 13-15,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6">
        <w:r>
          <w:rPr>
            <w:color w:val="2A78D6"/>
            <w:sz w:val="17"/>
          </w:rPr>
          <w:t xml:space="preserve">Altum - Interim report 6M 2026 (unaudited), p. 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7">
        <w:r>
          <w:rPr>
            <w:color w:val="2A78D6"/>
            <w:sz w:val="17"/>
          </w:rPr>
          <w:t xml:space="preserve">Altum - Interim report 6M 2026 (unaudited),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6">
        <w:r>
          <w:rPr>
            <w:color w:val="2A78D6"/>
            <w:sz w:val="17"/>
          </w:rPr>
          <w:t xml:space="preserve">Altum - Interim report 6M 2026 (unaudited), p. 2-3,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8">
        <w:r>
          <w:rPr>
            <w:color w:val="2A78D6"/>
            <w:sz w:val="17"/>
          </w:rPr>
          <w:t xml:space="preserve">Altum - Interim report 6M 2026 (unaudited), p. 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9">
        <w:r>
          <w:rPr>
            <w:color w:val="2A78D6"/>
            <w:sz w:val="17"/>
          </w:rPr>
          <w:t xml:space="preserve">Nasdaq Baltic - Altum 3.576% bond LV0000104669,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0">
        <w:r>
          <w:rPr>
            <w:color w:val="2A78D6"/>
            <w:sz w:val="17"/>
          </w:rPr>
          <w:t xml:space="preserve">Altum - Interim report 6M 2026 (unaudited),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1">
        <w:r>
          <w:rPr>
            <w:color w:val="2A78D6"/>
            <w:sz w:val="17"/>
          </w:rPr>
          <w:t xml:space="preserve">Altum - Interim report 6M 2026 (unaudited),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4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5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6">
        <w:r>
          <w:rPr>
            <w:color w:val="2A78D6"/>
            <w:sz w:val="17"/>
          </w:rPr>
          <w:t xml:space="preserve">Altum - Interim report 6M 2026 (unaudited), p. 14-15,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7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Altum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Altum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Altum</w:t>
    </w:r>
    <w:r>
      <w:rPr>
        <w:b w:val="0"/>
        <w:color w:val="667085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altm/2026_q2_en.pdf#page=3" TargetMode="External"/><Relationship Id="rId13" Type="http://schemas.openxmlformats.org/officeDocument/2006/relationships/hyperlink" Target="https://nasdaqbaltic.com/statistics/en/instrument/LV0000104669/reports" TargetMode="External"/><Relationship Id="rId14" Type="http://schemas.openxmlformats.org/officeDocument/2006/relationships/hyperlink" Target="https://nasdaqbaltic.com/market/upload/reports/altm/2026_q2_en.pdf#page=13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asdaqbaltic.com/market/upload/reports/altm/2026_q2_en.pdf#page=2" TargetMode="External"/><Relationship Id="rId17" Type="http://schemas.openxmlformats.org/officeDocument/2006/relationships/hyperlink" Target="https://nasdaqbaltic.com/market/upload/reports/altm/2026_q2_en.pdf#page=22" TargetMode="External"/><Relationship Id="rId18" Type="http://schemas.openxmlformats.org/officeDocument/2006/relationships/hyperlink" Target="https://nasdaqbaltic.com/market/upload/reports/altm/2026_q2_en.pdf#page=15" TargetMode="External"/><Relationship Id="rId19" Type="http://schemas.openxmlformats.org/officeDocument/2006/relationships/hyperlink" Target="https://nasdaqbaltic.com/statistics/en/instrument/LV0000104669/security?date=2026-10-19" TargetMode="External"/><Relationship Id="rId20" Type="http://schemas.openxmlformats.org/officeDocument/2006/relationships/hyperlink" Target="https://nasdaqbaltic.com/market/upload/reports/altm/2026_q2_en.pdf#page=5" TargetMode="External"/><Relationship Id="rId21" Type="http://schemas.openxmlformats.org/officeDocument/2006/relationships/hyperlink" Target="https://nasdaqbaltic.com/market/upload/reports/altm/2026_q2_en.pdf#page=6" TargetMode="External"/><Relationship Id="rId22" Type="http://schemas.openxmlformats.org/officeDocument/2006/relationships/hyperlink" Target="https://news.google.com/rss/articles/CBMilAFBVV95cUxPOWtQZW94S3pyNHdsOUZYSTd5UlliazBZRzZobWJHOXV3bjYzbXdKa3lKNGpRQm14MHd5V0JrOW0yWUVUMWZXenUyM0lPamd6WEZkZHJXQUI2QVpLbzJGQW5pMUdCUXhFQVA5YkRaTGc4STJTa0FRZV9RS2l4R05zWjNuMHRHZUZxcUVMQ0lDNUJ5Qk1V?oc=5" TargetMode="External"/><Relationship Id="rId23" Type="http://schemas.openxmlformats.org/officeDocument/2006/relationships/hyperlink" Target="https://news.google.com/rss/articles/CBMiqwFBVV95cUxQajVKaFc3MFgtVVN4XzBMdkxkTlY5S2QtamdBdUdCWXJJTnV0UHYtbE5UNzQtSk1aN3lhSkdLdjhaaEFXU05IdjdYUFd4cFRaOXJxaWhfLTFnalZhSWdSSmJqSWdlM2M1bWNWM3J0RDFUVFh6Q291ZXFsOWhfOEFyNXEzZVZOVU5acUVDazJjOFF6eEtwWmg2WDJnT05vYjZNWkJKQ2Zrb3dRcDQ?oc=5" TargetMode="External"/><Relationship Id="rId24" Type="http://schemas.openxmlformats.org/officeDocument/2006/relationships/hyperlink" Target="https://sanctionssearch.ofac.treas.gov/" TargetMode="External"/><Relationship Id="rId25" Type="http://schemas.openxmlformats.org/officeDocument/2006/relationships/hyperlink" Target="https://www.sanctionsmap.eu/#/main" TargetMode="External"/><Relationship Id="rId26" Type="http://schemas.openxmlformats.org/officeDocument/2006/relationships/hyperlink" Target="https://nasdaqbaltic.com/market/upload/reports/altm/2026_q2_en.pdf#page=14" TargetMode="External"/><Relationship Id="rId27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