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24" w:color="12355B" w:space="0"/>
        </w:pBdr>
        <w:spacing w:before="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030"/>
        <w:gridCol w:w="2608"/>
      </w:tblGrid>
      <w:tr>
        <w:tc>
          <w:tcPr>
            <w:tcW w:type="dxa" w:w="7030"/>
          </w:tcPr>
          <w:p>
            <w:pPr>
              <w:spacing w:before="0" w:after="0"/>
            </w:pPr>
            <w:r>
              <w:rPr>
                <w:b/>
                <w:caps/>
                <w:color w:val="2A78D6"/>
                <w:sz w:val="16"/>
              </w:rPr>
              <w:t>Emitento apžvalga · 6M2026</w:t>
            </w:r>
          </w:p>
          <w:p>
            <w:pPr>
              <w:spacing w:before="40" w:after="0"/>
            </w:pPr>
            <w:r>
              <w:rPr>
                <w:b/>
                <w:color w:val="12355B"/>
                <w:sz w:val="52"/>
              </w:rPr>
              <w:t>Augstsprieguma tīkls (AST)</w:t>
            </w:r>
          </w:p>
          <w:p>
            <w:pPr>
              <w:spacing w:before="40" w:after="0"/>
            </w:pPr>
            <w:r>
              <w:rPr>
                <w:b w:val="0"/>
                <w:color w:val="667085"/>
                <w:sz w:val="18"/>
              </w:rPr>
              <w:t>Latvija</w:t>
            </w:r>
          </w:p>
        </w:tc>
        <w:tc>
          <w:tcPr>
            <w:tcW w:type="dxa" w:w="2608"/>
          </w:tcPr>
          <w:p>
            <w:pPr>
              <w:spacing w:before="440" w:after="0"/>
              <w:jc w:val="right"/>
            </w:pPr>
            <w:r>
              <w:rPr>
                <w:b/>
                <w:color w:val="1B7F3B"/>
                <w:sz w:val="18"/>
                <w:shd w:val="clear" w:color="auto" w:fill="E3F3E8"/>
              </w:rPr>
              <w:t xml:space="preserve">  ●  TVARKINGA  </w:t>
            </w:r>
          </w:p>
        </w:tc>
      </w:tr>
    </w:tbl>
    <w:p>
      <w:pPr>
        <w:pBdr>
          <w:top w:val="single" w:sz="4" w:color="D5DCE4" w:space="0"/>
        </w:pBdr>
        <w:spacing w:before="120" w:after="200" w:line="120" w:lineRule="auto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Pagrindinė informacija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Emitento reitingas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A- with a stable outlook (agency not named in the report)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3">
              <w:r>
                <w:rPr>
                  <w:color w:val="2A78D6"/>
                  <w:vertAlign w:val="superscript"/>
                  <w:sz w:val="15"/>
                </w:rPr>
                <w:t xml:space="preserve">2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Analizės data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2026-10-22</w:t>
            </w:r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Kita ataskaita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9M 2026 interim report - 2026-11-30</w:t>
            </w:r>
            <w:hyperlink r:id="rId14">
              <w:r>
                <w:rPr>
                  <w:color w:val="2A78D6"/>
                  <w:vertAlign w:val="superscript"/>
                  <w:sz w:val="15"/>
                </w:rPr>
                <w:t xml:space="preserve">3</w:t>
              </w:r>
            </w:hyperlink>
          </w:p>
          <w:p>
            <w:pPr>
              <w:spacing w:before="80" w:after="0"/>
            </w:pPr>
            <w:r>
              <w:rPr>
                <w:b/>
                <w:caps/>
                <w:color w:val="667085"/>
                <w:sz w:val="14"/>
              </w:rPr>
              <w:t>Šalis</w:t>
            </w:r>
          </w:p>
          <w:p>
            <w:pPr>
              <w:spacing w:before="0" w:after="0"/>
            </w:pPr>
            <w:r>
              <w:rPr>
                <w:b w:val="0"/>
                <w:sz w:val="18"/>
              </w:rPr>
              <w:t>Latvija</w:t>
            </w:r>
          </w:p>
        </w:tc>
        <w:tc>
          <w:tcPr>
            <w:tcW w:type="dxa" w:w="4819"/>
            <w:tcBorders>
              <w:top w:val="single" w:sz="12" w:color="12355B" w:space="0"/>
              <w:left w:val="nil"/>
              <w:bottom w:val="nil"/>
              <w:right w:val="nil"/>
            </w:tcBorders>
            <w:shd w:val="clear" w:color="auto" w:fill="F4F6F9"/>
          </w:tcPr>
          <w:p>
            <w:pPr>
              <w:spacing w:before="0" w:after="40"/>
            </w:pPr>
            <w:r>
              <w:rPr>
                <w:b/>
                <w:color w:val="12355B"/>
                <w:sz w:val="18"/>
              </w:rPr>
              <w:t>Turimi vertybiniai popieriai</w:t>
            </w:r>
          </w:p>
          <w:p>
            <w:pPr>
              <w:spacing w:before="80" w:after="0"/>
            </w:pPr>
            <w:r>
              <w:rPr>
                <w:b/>
                <w:color w:val="1B2430"/>
                <w:sz w:val="17"/>
              </w:rPr>
              <w:t>AST 0.5% green bond 2027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Žalioji obligacija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LV0000802528  ·  0,5 % · 2027-01-20</w:t>
            </w:r>
          </w:p>
          <w:p>
            <w:pPr>
              <w:spacing w:before="0" w:after="0"/>
            </w:pPr>
            <w:r>
              <w:rPr>
                <w:b w:val="0"/>
                <w:color w:val="12355B"/>
                <w:sz w:val="15"/>
              </w:rPr>
              <w:t>atskiro nerasta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80" w:type="dxa"/>
          <w:left w:w="260" w:type="dxa"/>
          <w:bottom w:w="200" w:type="dxa"/>
          <w:right w:w="260" w:type="dxa"/>
        </w:tblCellMar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8"/>
            <w:tcBorders>
              <w:top w:val="nil"/>
              <w:left w:val="single" w:sz="24" w:color="1B7F3B" w:space="0"/>
              <w:bottom w:val="nil"/>
              <w:right w:val="nil"/>
            </w:tcBorders>
            <w:shd w:val="clear" w:color="auto" w:fill="E3F3E8"/>
          </w:tcPr>
          <w:p>
            <w:pPr>
              <w:spacing w:before="0" w:after="0" w:line="276" w:lineRule="auto"/>
            </w:pPr>
            <w:r>
              <w:rPr>
                <w:b/>
                <w:color w:val="1B2430"/>
                <w:sz w:val="21"/>
              </w:rPr>
              <w:t>Pozicija tvarkinga.</w:t>
            </w:r>
            <w:r>
              <w:rPr>
                <w:b w:val="0"/>
                <w:color w:val="1B2430"/>
                <w:sz w:val="21"/>
              </w:rPr>
              <w:t xml:space="preserve"> AST – 100 % valstybinis Latvijos elektros perdavimo operatorius su A- reitingu</w:t>
            </w:r>
            <w:hyperlink r:id="rId16">
              <w:r>
                <w:rPr>
                  <w:color w:val="2A78D6"/>
                  <w:vertAlign w:val="superscript"/>
                  <w:sz w:val="17"/>
                </w:rPr>
                <w:t xml:space="preserve">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2">
              <w:r>
                <w:rPr>
                  <w:color w:val="2A78D6"/>
                  <w:vertAlign w:val="superscript"/>
                  <w:sz w:val="17"/>
                </w:rPr>
                <w:t xml:space="preserve">1</w:t>
              </w:r>
            </w:hyperlink>
            <w:r>
              <w:rPr>
                <w:b w:val="0"/>
                <w:color w:val="1B2430"/>
                <w:sz w:val="21"/>
              </w:rPr>
              <w:t>. 2027-01-20 išperkamai 100 mln. EUR obligacijai turima 94,7 mln. EUR pinigų ir nepanaudota SEB overdrafto linija iki 90 mln. EUR</w:t>
            </w:r>
            <w:hyperlink r:id="rId17">
              <w:r>
                <w:rPr>
                  <w:color w:val="2A78D6"/>
                  <w:vertAlign w:val="superscript"/>
                  <w:sz w:val="17"/>
                </w:rPr>
                <w:t xml:space="preserve">5</w:t>
              </w:r>
            </w:hyperlink>
            <w:r>
              <w:rPr>
                <w:b w:val="0"/>
                <w:color w:val="1B2430"/>
                <w:sz w:val="21"/>
              </w:rPr>
              <w:t>.</w:t>
            </w:r>
          </w:p>
        </w:tc>
      </w:tr>
    </w:tbl>
    <w:p>
      <w:pPr>
        <w:spacing w:before="0" w:after="120"/>
      </w:pP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50" w:type="dxa"/>
          <w:left w:w="170" w:type="dxa"/>
          <w:bottom w:w="150" w:type="dxa"/>
          <w:right w:w="100" w:type="dxa"/>
        </w:tblCellMar>
        <w:tblLook w:firstColumn="1" w:firstRow="1" w:lastColumn="0" w:lastRow="0" w:noHBand="0" w:noVBand="1" w:val="04A0"/>
      </w:tblPr>
      <w:tblGrid>
        <w:gridCol w:w="2260"/>
        <w:gridCol w:w="198"/>
        <w:gridCol w:w="2260"/>
        <w:gridCol w:w="198"/>
        <w:gridCol w:w="2260"/>
        <w:gridCol w:w="198"/>
        <w:gridCol w:w="2260"/>
      </w:tblGrid>
      <w:tr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EBITDA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61,4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22,3 %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Grynasis pelnas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22,5</w:t>
            </w:r>
            <w:r>
              <w:rPr>
                <w:b w:val="0"/>
                <w:color w:val="667085"/>
                <w:sz w:val="18"/>
              </w:rPr>
              <w:t xml:space="preserve"> mln. EUR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▲ 17,8 % vs 6M2025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Grynoji skola / EBITDA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0,93</w:t>
            </w:r>
            <w:r>
              <w:rPr>
                <w:b w:val="0"/>
                <w:color w:val="667085"/>
                <w:sz w:val="18"/>
              </w:rPr>
              <w:t xml:space="preserve"> x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0,39x vs FY2025</w:t>
            </w:r>
          </w:p>
        </w:tc>
        <w:tc>
          <w:tcPr>
            <w:tcW w:type="dxa" w:w="198"/>
          </w:tcPr>
          <w:p/>
        </w:tc>
        <w:tc>
          <w:tcPr>
            <w:tcW w:type="dxa" w:w="2261"/>
            <w:tcBorders>
              <w:top w:val="single" w:sz="18" w:color="2A78D6" w:space="0"/>
              <w:left w:val="single" w:sz="4" w:color="D5DCE4" w:space="0"/>
              <w:bottom w:val="single" w:sz="4" w:color="D5DCE4" w:space="0"/>
              <w:right w:val="single" w:sz="4" w:color="D5DCE4" w:space="0"/>
            </w:tcBorders>
          </w:tcPr>
          <w:p>
            <w:pPr>
              <w:spacing w:before="0" w:after="60"/>
            </w:pPr>
            <w:r>
              <w:rPr>
                <w:b/>
                <w:caps/>
                <w:color w:val="667085"/>
                <w:sz w:val="14"/>
              </w:rPr>
              <w:t>Nuosavo kapitalo dalis</w:t>
            </w:r>
            <w:r>
              <w:rPr>
                <w:b w:val="0"/>
                <w:color w:val="667085"/>
                <w:sz w:val="14"/>
              </w:rPr>
              <w:t xml:space="preserve">  ·  6M2026</w:t>
            </w:r>
          </w:p>
          <w:p>
            <w:pPr>
              <w:spacing w:before="0" w:after="20"/>
            </w:pPr>
            <w:r>
              <w:rPr>
                <w:b/>
                <w:color w:val="12355B"/>
                <w:sz w:val="34"/>
              </w:rPr>
              <w:t>40</w:t>
            </w:r>
            <w:r>
              <w:rPr>
                <w:b w:val="0"/>
                <w:color w:val="667085"/>
                <w:sz w:val="18"/>
              </w:rPr>
              <w:t xml:space="preserve"> %</w:t>
            </w:r>
          </w:p>
          <w:p>
            <w:pPr>
              <w:spacing w:before="0" w:after="0"/>
            </w:pPr>
            <w:r>
              <w:rPr>
                <w:b w:val="0"/>
                <w:color w:val="667085"/>
                <w:sz w:val="15"/>
              </w:rPr>
              <w:t>▼ 1 p. p. vs 6M2025</w:t>
            </w:r>
          </w:p>
        </w:tc>
      </w:tr>
    </w:tbl>
    <w:p>
      <w:pPr>
        <w:spacing w:before="0" w:after="40"/>
      </w:pPr>
    </w:p>
    <w:p>
      <w:pPr>
        <w:keepNext/>
        <w:spacing w:before="200" w:after="100"/>
      </w:pPr>
      <w:r>
        <w:rPr>
          <w:b/>
          <w:color w:val="12355B"/>
          <w:sz w:val="26"/>
        </w:rPr>
        <w:t>Trumpa santrauka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Rezultatai gerėja:</w:t>
      </w:r>
      <w:r>
        <w:rPr>
          <w:b w:val="0"/>
        </w:rPr>
        <w:t xml:space="preserve"> I pusm. EBITDA 61,4 mln. EUR (50,2 mln.), marža 33 % (28 %); pelnas 22,5 mln. EUR (19,1 mln.)</w:t>
      </w:r>
      <w:hyperlink r:id="rId17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Skola nedidelė:</w:t>
      </w:r>
      <w:r>
        <w:rPr>
          <w:b w:val="0"/>
        </w:rPr>
        <w:t xml:space="preserve"> grynoji skola apie 94 mln. EUR, apie 0,9 karto metinės EBITDA (mūsų skaičiavimas); nuosavo kapitalo dalis 40 %</w:t>
      </w:r>
      <w:hyperlink r:id="rId17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Obligacijos išpirkimas padengtas:</w:t>
      </w:r>
      <w:r>
        <w:rPr>
          <w:b w:val="0"/>
        </w:rPr>
        <w:t xml:space="preserve"> 2027-01 išperkamai 100 mln. EUR žaliajai obligacijai – SEB overdraftas iki 90 mln. EUR (iki 2027-03-10), 2026-06-30 nepanaudotas</w:t>
      </w:r>
      <w:hyperlink r:id="rId13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color w:val="2A78D6"/>
          <w:vertAlign w:val="superscript"/>
        </w:rPr>
        <w:t>,</w:t>
      </w:r>
      <w:hyperlink r:id="rId12">
        <w:r>
          <w:rPr>
            <w:color w:val="2A78D6"/>
            <w:vertAlign w:val="superscript"/>
            <w:sz w:val="17"/>
          </w:rPr>
          <w:t xml:space="preserve">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Didelės investicijos:</w:t>
      </w:r>
      <w:r>
        <w:rPr>
          <w:b w:val="0"/>
        </w:rPr>
        <w:t xml:space="preserve"> 2025 m. investuota 209 mln. EUR; Plėtros planas 2027–2036 – 1 066 mln. EUR, iš jų iki 289 mln. EUR ES lėšų</w:t>
      </w:r>
      <w:hyperlink r:id="rId18">
        <w:r>
          <w:rPr>
            <w:color w:val="2A78D6"/>
            <w:vertAlign w:val="superscript"/>
            <w:sz w:val="17"/>
          </w:rPr>
          <w:t xml:space="preserve">8</w:t>
        </w:r>
      </w:hyperlink>
      <w:r>
        <w:rPr>
          <w:color w:val="2A78D6"/>
          <w:vertAlign w:val="superscript"/>
        </w:rPr>
        <w:t>,</w:t>
      </w:r>
      <w:hyperlink r:id="rId13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01</w:t>
        <w:tab/>
      </w:r>
      <w:r>
        <w:rPr>
          <w:b/>
          <w:color w:val="12355B"/>
          <w:sz w:val="28"/>
        </w:rPr>
        <w:t>Turimos priemonės ir ISIN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1457"/>
        <w:gridCol w:w="2241"/>
        <w:gridCol w:w="1064"/>
        <w:gridCol w:w="1120"/>
        <w:gridCol w:w="1569"/>
        <w:gridCol w:w="2185"/>
      </w:tblGrid>
      <w:tr>
        <w:tc>
          <w:tcPr>
            <w:tcW w:type="dxa" w:w="14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ISIN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Priemonė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Kuponas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Išpirkimas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Emisijos reitingas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Pastaba</w:t>
            </w:r>
          </w:p>
        </w:tc>
      </w:tr>
      <w:tr>
        <w:tc>
          <w:tcPr>
            <w:tcW w:type="dxa" w:w="14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LV0000802528</w:t>
            </w:r>
          </w:p>
        </w:tc>
        <w:tc>
          <w:tcPr>
            <w:tcW w:type="dxa" w:w="224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AST 0.5% green bond 2027</w:t>
            </w:r>
            <w:r>
              <w:t xml:space="preserve"> </w:t>
              <w:drawing>
                <wp:inline xmlns:a="http://schemas.openxmlformats.org/drawingml/2006/main" xmlns:pic="http://schemas.openxmlformats.org/drawingml/2006/picture">
                  <wp:extent cx="91757" cy="917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a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57" cy="91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B7F3B"/>
                <w:sz w:val="14"/>
              </w:rPr>
              <w:t xml:space="preserve"> Žalioji obligacija</w:t>
            </w:r>
          </w:p>
        </w:tc>
        <w:tc>
          <w:tcPr>
            <w:tcW w:type="dxa" w:w="106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0,5 %</w:t>
            </w:r>
          </w:p>
        </w:tc>
        <w:tc>
          <w:tcPr>
            <w:tcW w:type="dxa" w:w="112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2027-01-20</w:t>
            </w:r>
          </w:p>
        </w:tc>
        <w:tc>
          <w:tcPr>
            <w:tcW w:type="dxa" w:w="1569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atskiro nerasta (not rated separately: the issuer chose not to rate its bonds (S&amp;P issuer rating A-))</w:t>
            </w:r>
          </w:p>
        </w:tc>
        <w:tc>
          <w:tcPr>
            <w:tcW w:type="dxa" w:w="218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Listed 2021-11-29; refinancing backed by SEB overdraft up to EUR 90m (to 2027-03-10)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02</w:t>
        <w:tab/>
      </w:r>
      <w:r>
        <w:rPr>
          <w:b/>
          <w:color w:val="12355B"/>
          <w:sz w:val="28"/>
        </w:rPr>
        <w:t>Pagrindiniai rodikliai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864"/>
        <w:gridCol w:w="1156"/>
        <w:gridCol w:w="1156"/>
        <w:gridCol w:w="1156"/>
        <w:gridCol w:w="1156"/>
        <w:gridCol w:w="2148"/>
      </w:tblGrid>
      <w:tr>
        <w:tc>
          <w:tcPr>
            <w:tcW w:type="dxa" w:w="286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Rodiklis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FY2024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FY2025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6M2025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6M2026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Pajamos, mln. EUR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258,6*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354,1*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177,5*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185,7*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4,6 %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EBITDA, mln. EUR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108,3*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90,8*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50,2*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61,4*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22,3 %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Grynasis pelnas, mln. EUR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22,7*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27,5*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19,1*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22,5*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17,8 %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Investicijos, mln. EUR</w:t>
            </w:r>
            <w:hyperlink r:id="rId18">
              <w:r>
                <w:rPr>
                  <w:color w:val="2A78D6"/>
                  <w:vertAlign w:val="superscript"/>
                  <w:sz w:val="14"/>
                </w:rPr>
                <w:t xml:space="preserve">8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209,1*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104,6*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62,6*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▼ 40,2 %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Grynoji skola, mln. EUR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74,2ᶜ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120,0ᶜ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134,3ᶜ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94,4ᶜ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▼ 29,7 %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Grynoji skola / EBITDA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0,69xᶜ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1,32xᶜ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0,93xᶜ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▼ 0,39x vs FY2025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Nuosavas kapitalas, mln. EUR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641,1*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651,7*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644,9*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657,6*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1B7F3B"/>
                <w:sz w:val="17"/>
              </w:rPr>
              <w:t>▲ 2,0 %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Nuosavo kapitalo dalis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42 %*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41 %*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41 %*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FDF1D8"/>
          </w:tcPr>
          <w:p>
            <w:pPr>
              <w:spacing w:before="0" w:after="0"/>
              <w:jc w:val="right"/>
            </w:pPr>
            <w:r>
              <w:rPr>
                <w:b/>
                <w:sz w:val="17"/>
              </w:rPr>
              <w:t>40 %*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olor w:val="B42318"/>
                <w:sz w:val="17"/>
              </w:rPr>
              <w:t>▼ 1 p. p. vs 6M2025</w:t>
            </w:r>
          </w:p>
        </w:tc>
      </w:tr>
      <w:tr>
        <w:tc>
          <w:tcPr>
            <w:tcW w:type="dxa" w:w="286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Turtas, mln. EUR</w:t>
            </w:r>
            <w:hyperlink r:id="rId19">
              <w:r>
                <w:rPr>
                  <w:color w:val="2A78D6"/>
                  <w:vertAlign w:val="superscript"/>
                  <w:sz w:val="14"/>
                </w:rPr>
                <w:t xml:space="preserve">9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6</w:t>
              </w:r>
            </w:hyperlink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1 529,0*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1 587,9*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1 567,7*</w:t>
            </w:r>
          </w:p>
        </w:tc>
        <w:tc>
          <w:tcPr>
            <w:tcW w:type="dxa" w:w="115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1 640,3*</w:t>
            </w:r>
          </w:p>
        </w:tc>
        <w:tc>
          <w:tcPr>
            <w:tcW w:type="dxa" w:w="214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color w:val="5F6B7A"/>
                <w:sz w:val="17"/>
              </w:rPr>
              <w:t>▲ 4,6 % vs 6M2025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Spalvos: žalias pokytis – rodiklis gerėja, raudonas – blogėja. Paskutinio laikotarpio langelio fonas: žalias – geras lygis, geltonas – vidutinis, raudonas – silpnas (vidiniai orientyrai, config/metric_rules.yaml).</w:t>
      </w:r>
    </w:p>
    <w:p>
      <w:pPr>
        <w:spacing w:before="40" w:after="60"/>
      </w:pPr>
      <w:r>
        <w:rPr>
          <w:b w:val="0"/>
          <w:color w:val="667085"/>
          <w:sz w:val="16"/>
        </w:rPr>
        <w:t>* – paimta iš ataskaitos santraukos;  ᶜ – mūsų skaičiavimas. Mažas numeris prie teksto – nuoroda į šaltinį (paspaudus atsidaro dokumentas reikiamame puslapyje).</w:t>
      </w:r>
    </w:p>
    <w:p>
      <w:r>
        <w:drawing>
          <wp:inline xmlns:a="http://schemas.openxmlformats.org/drawingml/2006/main" xmlns:pic="http://schemas.openxmlformats.org/drawingml/2006/picture">
            <wp:extent cx="6120000" cy="22311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t_l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3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03</w:t>
        <w:tab/>
      </w:r>
      <w:r>
        <w:rPr>
          <w:b/>
          <w:color w:val="12355B"/>
          <w:sz w:val="28"/>
        </w:rPr>
        <w:t>Veiklos apžvalga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AST valdo Latvijos 330 kV ir 110 kV perdavimo tinklą (330 kV:</w:t>
      </w:r>
      <w:r>
        <w:rPr>
          <w:b w:val="0"/>
        </w:rPr>
        <w:t xml:space="preserve"> 17 pastočių, 1 727 km; 110 kV: 130 pastočių, 3 786 km) ir 68,46 % Conexus Baltic Grid (dujų perdavimas ir Inčukalnio saugykla)</w:t>
      </w:r>
      <w:hyperlink r:id="rId21">
        <w:r>
          <w:rPr>
            <w:color w:val="2A78D6"/>
            <w:vertAlign w:val="superscript"/>
            <w:sz w:val="17"/>
          </w:rPr>
          <w:t xml:space="preserve">10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Baltijos šalys sinchronizuotos su kontinentine Europa 2025-02-09; balansavimo pajėgumų rinka veikia nuo 2025-02-04</w:t>
      </w:r>
      <w:hyperlink r:id="rId22">
        <w:r>
          <w:rPr>
            <w:color w:val="2A78D6"/>
            <w:vertAlign w:val="superscript"/>
            <w:sz w:val="17"/>
          </w:rPr>
          <w:t xml:space="preserve">11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Nuo 2026-01-01 patvirtinti nauji trejų metų tarifai, vidutinis AST tarifas mažėja 10 %</w:t>
      </w:r>
      <w:hyperlink r:id="rId23">
        <w:r>
          <w:rPr>
            <w:color w:val="2A78D6"/>
            <w:vertAlign w:val="superscript"/>
            <w:sz w:val="17"/>
          </w:rPr>
          <w:t xml:space="preserve">12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04</w:t>
        <w:tab/>
      </w:r>
      <w:r>
        <w:rPr>
          <w:b/>
          <w:color w:val="12355B"/>
          <w:sz w:val="28"/>
        </w:rPr>
        <w:t>Finansai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2025 m. pajamos 354,1 mln. EUR (258,6 mln.), EBITDA 90,8 mln. EUR (108,3 mln.), pelnas 27,5 mln. EUR (22,7 mln.)</w:t>
      </w:r>
      <w:hyperlink r:id="rId19">
        <w:r>
          <w:rPr>
            <w:color w:val="2A78D6"/>
            <w:vertAlign w:val="superscript"/>
            <w:sz w:val="17"/>
          </w:rPr>
          <w:t xml:space="preserve">9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 w:val="0"/>
        </w:rPr>
        <w:t>2026-06-30 skolinimasis 189,0 mln. EUR, pinigai 94,7 mln. EUR; obligacijos (100,2 mln. EUR) jau trumpalaikės</w:t>
      </w:r>
      <w:hyperlink r:id="rId17">
        <w:r>
          <w:rPr>
            <w:color w:val="2A78D6"/>
            <w:vertAlign w:val="superscript"/>
            <w:sz w:val="17"/>
          </w:rPr>
          <w:t xml:space="preserve">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Dividendai:</w:t>
      </w:r>
      <w:r>
        <w:rPr>
          <w:b w:val="0"/>
        </w:rPr>
        <w:t xml:space="preserve"> per I pusm. patronuojanti įmonė išmokėjo 13,6 mln. EUR</w:t>
      </w:r>
      <w:hyperlink r:id="rId24">
        <w:r>
          <w:rPr>
            <w:color w:val="2A78D6"/>
            <w:vertAlign w:val="superscript"/>
            <w:sz w:val="17"/>
          </w:rPr>
          <w:t xml:space="preserve">13</w:t>
        </w:r>
      </w:hyperlink>
      <w:r>
        <w:rPr>
          <w:b w:val="0"/>
        </w:rPr>
        <w:t>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05</w:t>
        <w:tab/>
      </w:r>
      <w:r>
        <w:rPr>
          <w:b/>
          <w:color w:val="12355B"/>
          <w:sz w:val="28"/>
        </w:rPr>
        <w:t>Ankstesni planai ir rezultatai</w:t>
      </w:r>
    </w:p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2577"/>
        <w:gridCol w:w="2577"/>
        <w:gridCol w:w="3138"/>
        <w:gridCol w:w="1344"/>
      </w:tblGrid>
      <w:tr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Planas / tikslas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Rezultatas</w:t>
            </w:r>
          </w:p>
        </w:tc>
        <w:tc>
          <w:tcPr>
            <w:tcW w:type="dxa" w:w="3138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Kas pasikeitė ir kodėl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  <w:t>Būsena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Baltijos šalių sinchronizacija su kontinentine Europa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Įvykdyta 2025-02-09, patvirtinta kaip nuolatinė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5">
              <w:r>
                <w:rPr>
                  <w:color w:val="2A78D6"/>
                  <w:vertAlign w:val="superscript"/>
                  <w:sz w:val="14"/>
                </w:rPr>
                <w:t xml:space="preserve">15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Įvykdyta</w:t>
            </w:r>
            <w:hyperlink r:id="rId22">
              <w:r>
                <w:rPr>
                  <w:color w:val="2A78D6"/>
                  <w:vertAlign w:val="superscript"/>
                  <w:sz w:val="14"/>
                </w:rPr>
                <w:t xml:space="preserve">14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3F3E8"/>
          </w:tcPr>
          <w:p>
            <w:pPr>
              <w:spacing w:before="0" w:after="0"/>
            </w:pPr>
            <w:r>
              <w:rPr>
                <w:b/>
                <w:sz w:val="17"/>
              </w:rPr>
              <w:t>Įvykdyta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Refinansuoti 100 mln. EUR obligaciją (išpirkimas 2027-01-20)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Pinigai 94,7 mln. EUR ir SEB overdraftas iki 90 mln. EUR; naujos emisijos plano ataskaitoje nėra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Išpirkimui lėšų pakanka</w:t>
            </w:r>
            <w:hyperlink r:id="rId17">
              <w:r>
                <w:rPr>
                  <w:color w:val="2A78D6"/>
                  <w:vertAlign w:val="superscript"/>
                  <w:sz w:val="14"/>
                </w:rPr>
                <w:t xml:space="preserve">5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  <w:tr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Plėtros planas 2027–2036: 1 066 mln. EUR investicijų</w:t>
            </w:r>
          </w:p>
        </w:tc>
        <w:tc>
          <w:tcPr>
            <w:tcW w:type="dxa" w:w="257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Pateiktas reguliuotojui (PUC) 2026-07-30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</w:p>
        </w:tc>
        <w:tc>
          <w:tcPr>
            <w:tcW w:type="dxa" w:w="3138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Laukia patvirtinimo</w:t>
            </w:r>
            <w:hyperlink r:id="rId13">
              <w:r>
                <w:rPr>
                  <w:color w:val="2A78D6"/>
                  <w:vertAlign w:val="superscript"/>
                  <w:sz w:val="14"/>
                </w:rPr>
                <w:t xml:space="preserve">7</w:t>
              </w:r>
            </w:hyperlink>
            <w:r>
              <w:rPr>
                <w:b w:val="0"/>
                <w:sz w:val="17"/>
              </w:rPr>
              <w:t>.</w:t>
            </w:r>
          </w:p>
        </w:tc>
        <w:tc>
          <w:tcPr>
            <w:tcW w:type="dxa" w:w="1345"/>
            <w:tcBorders>
              <w:top w:val="nil"/>
              <w:left w:val="nil"/>
              <w:bottom w:val="single" w:sz="4" w:color="E6EAF0" w:space="0"/>
              <w:right w:val="nil"/>
            </w:tcBorders>
            <w:shd w:val="clear" w:color="auto" w:fill="EAF1F8"/>
          </w:tcPr>
          <w:p>
            <w:pPr>
              <w:spacing w:before="0" w:after="0"/>
            </w:pPr>
            <w:r>
              <w:rPr>
                <w:b/>
                <w:sz w:val="17"/>
              </w:rPr>
              <w:t>Dar vykdoma</w:t>
            </w:r>
          </w:p>
        </w:tc>
      </w:tr>
    </w:tbl>
    <w:p>
      <w:pPr>
        <w:spacing w:before="0" w:after="40"/>
      </w:pP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06</w:t>
        <w:tab/>
      </w:r>
      <w:r>
        <w:rPr>
          <w:b/>
          <w:color w:val="12355B"/>
          <w:sz w:val="28"/>
        </w:rPr>
        <w:t>Informacija investuotojui ir išvados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Turima priemonė:</w:t>
      </w:r>
      <w:r>
        <w:rPr>
          <w:b w:val="0"/>
        </w:rPr>
        <w:t xml:space="preserve"> 0,5 % žalioji obligacija, 100 mln. EUR, išpirkimas 2027-01-20 (Nasdaq Riga nuo 2021-11-29)</w:t>
      </w:r>
      <w:hyperlink r:id="rId26">
        <w:r>
          <w:rPr>
            <w:color w:val="2A78D6"/>
            <w:vertAlign w:val="superscript"/>
            <w:sz w:val="17"/>
          </w:rPr>
          <w:t xml:space="preserve">16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Išpirkimas:</w:t>
      </w:r>
      <w:r>
        <w:rPr>
          <w:b w:val="0"/>
        </w:rPr>
        <w:t xml:space="preserve"> iki išpirkimo liko mažiau nei 3 mėn.; pinigų (94,7 mln. EUR) ir nepanaudoto 90 mln. EUR overdrafto pakanka visai sumai</w:t>
      </w:r>
      <w:hyperlink r:id="rId17">
        <w:r>
          <w:rPr>
            <w:color w:val="2A78D6"/>
            <w:vertAlign w:val="superscript"/>
            <w:sz w:val="17"/>
          </w:rPr>
          <w:t xml:space="preserve">5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Išvada:</w:t>
      </w:r>
      <w:r>
        <w:rPr>
          <w:b w:val="0"/>
        </w:rPr>
        <w:t xml:space="preserve"> maža rizika – valstybės nuosavybė, reguliuojama veikla, A- reitingas ir užtikrintas išpirkimo finansavimas.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07</w:t>
        <w:tab/>
      </w:r>
      <w:r>
        <w:rPr>
          <w:b/>
          <w:color w:val="12355B"/>
          <w:sz w:val="28"/>
        </w:rPr>
        <w:t>Rinka ir aplinka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Pelnas augo</w:t>
      </w:r>
      <w:r>
        <w:rPr>
          <w:b w:val="0"/>
        </w:rPr>
        <w:t xml:space="preserve"> iki 22,5 mln. EUR (prieš metus 19,1 mln.) dėl didesnių elektros ir dujų perdavimo pajamų</w:t>
      </w:r>
      <w:hyperlink r:id="rId27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b w:val="0"/>
        </w:rPr>
        <w:t>; elektros perdavimo pajamos +8 % dėl balansavimo ir perkrovų valdymo pajamų (+41,8 mln. EUR)</w:t>
      </w:r>
      <w:hyperlink r:id="rId27">
        <w:r>
          <w:rPr>
            <w:color w:val="2A78D6"/>
            <w:vertAlign w:val="superscript"/>
            <w:sz w:val="17"/>
          </w:rPr>
          <w:t xml:space="preserve">17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Tarifai:</w:t>
      </w:r>
      <w:r>
        <w:rPr>
          <w:b w:val="0"/>
        </w:rPr>
        <w:t xml:space="preserve"> nauji perdavimo tarifai nuo 2026-01-01; sukauptas perkrovų pajamas iki 2028 m. pabaigos galima naudoti iki 44,4 mln. EUR, 2026 m. I pusm. pripažinta 4,0 mln. EUR</w:t>
      </w:r>
      <w:hyperlink r:id="rId28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b w:val="0"/>
        </w:rPr>
        <w:t>. Dujų saugyklos pajamos –36 % dėl mažesnių užsakymų ir tarifo</w:t>
      </w:r>
      <w:hyperlink r:id="rId28">
        <w:r>
          <w:rPr>
            <w:color w:val="2A78D6"/>
            <w:vertAlign w:val="superscript"/>
            <w:sz w:val="17"/>
          </w:rPr>
          <w:t xml:space="preserve">18</w:t>
        </w:r>
      </w:hyperlink>
      <w:r>
        <w:rPr>
          <w:b w:val="0"/>
        </w:rPr>
        <w:t>.</w:t>
      </w:r>
    </w:p>
    <w:p>
      <w:pPr>
        <w:tabs>
          <w:tab w:pos="255" w:val="left"/>
        </w:tabs>
        <w:spacing w:before="0" w:after="80"/>
        <w:ind w:left="255" w:hanging="255"/>
      </w:pPr>
      <w:r>
        <w:rPr>
          <w:b/>
          <w:color w:val="2A78D6"/>
          <w:sz w:val="20"/>
        </w:rPr>
        <w:t>▪</w:t>
        <w:tab/>
      </w:r>
      <w:r>
        <w:rPr>
          <w:b/>
        </w:rPr>
        <w:t>Rinka:</w:t>
      </w:r>
      <w:r>
        <w:rPr>
          <w:b w:val="0"/>
        </w:rPr>
        <w:t xml:space="preserve"> birželio vidutinė elektros kaina Latvijoje 92,23 EUR/MWh (+12,3 % per mėn.) dėl mažesnės vėjo gamybos ir karščio Europoje</w:t>
      </w:r>
      <w:hyperlink r:id="rId29">
        <w:r>
          <w:rPr>
            <w:color w:val="2A78D6"/>
            <w:vertAlign w:val="superscript"/>
            <w:sz w:val="17"/>
          </w:rPr>
          <w:t xml:space="preserve">19</w:t>
        </w:r>
      </w:hyperlink>
      <w:r>
        <w:rPr>
          <w:b w:val="0"/>
        </w:rPr>
        <w:t>; sinchronizacija ir atsinaujinančios energetikos plėtra gerokai didina balansavimo rezervų poreikį</w:t>
      </w:r>
      <w:hyperlink r:id="rId13">
        <w:r>
          <w:rPr>
            <w:color w:val="2A78D6"/>
            <w:vertAlign w:val="superscript"/>
            <w:sz w:val="17"/>
          </w:rPr>
          <w:t xml:space="preserve">7</w:t>
        </w:r>
      </w:hyperlink>
      <w:r>
        <w:rPr>
          <w:b w:val="0"/>
        </w:rPr>
        <w:t>.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firstColumn="1" w:firstRow="1" w:lastColumn="0" w:lastRow="0" w:noHBand="0" w:noVBand="1" w:val="04A0"/>
      </w:tblPr>
      <w:tblGrid>
        <w:gridCol w:w="3515"/>
        <w:gridCol w:w="1814"/>
        <w:gridCol w:w="1360"/>
        <w:gridCol w:w="1360"/>
        <w:gridCol w:w="1587"/>
      </w:tblGrid>
      <w:tr>
        <w:tc>
          <w:tcPr>
            <w:tcW w:type="dxa" w:w="3515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</w:pPr>
            <w:r>
              <w:rPr>
                <w:b/>
                <w:caps/>
                <w:color w:val="667085"/>
                <w:sz w:val="14"/>
              </w:rPr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Dabar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3 mėn.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Prieš 12 mėn.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color="12355B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/>
                <w:caps/>
                <w:color w:val="667085"/>
                <w:sz w:val="14"/>
              </w:rPr>
              <w:t>Pokytis per 12 mėn.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ECB indėlių palūkanų norma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2,50 %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2,25 %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–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3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2,64 %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2,34 %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2,03 %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0,61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6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2,92 %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2,60 %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0,82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12 mėn. Euribor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3,25 % (2026-09)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2,80 %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2,17 %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1,08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AAA vyriausybių 10 m. pajamingumas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3,37 % (2026-10)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3,23 %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2,72 %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▲ 0,65 p. p.</w:t>
            </w:r>
          </w:p>
        </w:tc>
      </w:tr>
      <w:tr>
        <w:tc>
          <w:tcPr>
            <w:tcW w:type="dxa" w:w="3515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</w:pPr>
            <w:r>
              <w:rPr>
                <w:b w:val="0"/>
                <w:sz w:val="17"/>
              </w:rPr>
              <w:t>Euro zonos infliacija (SVKI, metinė)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1,90 % (2025-12)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2,20 %</w:t>
            </w:r>
          </w:p>
        </w:tc>
        <w:tc>
          <w:tcPr>
            <w:tcW w:type="dxa" w:w="1361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2,40 %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color="E6EAF0" w:space="0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b w:val="0"/>
                <w:sz w:val="17"/>
              </w:rPr>
              <w:t>▼ 0,50 p. p.</w:t>
            </w:r>
          </w:p>
        </w:tc>
      </w:tr>
    </w:tbl>
    <w:p>
      <w:pPr>
        <w:spacing w:before="0" w:after="40"/>
      </w:pPr>
    </w:p>
    <w:p>
      <w:pPr>
        <w:spacing w:before="40" w:after="60"/>
      </w:pPr>
      <w:r>
        <w:rPr>
          <w:b w:val="0"/>
          <w:color w:val="667085"/>
          <w:sz w:val="16"/>
        </w:rPr>
        <w:t>Euro zonos palūkanos ir infliacija (ECB duomenys, mėnesio pabaigos reikšmė; Euribor ir infliacija – mėnesio vidurkis). Svarbu kintamų palūkanų ir perkainojamoms (reset) obligacijoms bei refinansavimo kaštams.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08</w:t>
        <w:tab/>
      </w:r>
      <w:r>
        <w:rPr>
          <w:b/>
          <w:color w:val="12355B"/>
          <w:sz w:val="28"/>
        </w:rPr>
        <w:t>Ką rašo spauda</w:t>
      </w:r>
    </w:p>
    <w:p>
      <w:pPr>
        <w:spacing w:before="40" w:after="60"/>
      </w:pPr>
      <w:r>
        <w:rPr>
          <w:b w:val="0"/>
          <w:color w:val="667085"/>
          <w:sz w:val="18"/>
        </w:rPr>
        <w:t>Per šį laikotarpį naujienų apie emitentą nerasta.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09</w:t>
        <w:tab/>
      </w:r>
      <w:r>
        <w:rPr>
          <w:b/>
          <w:color w:val="12355B"/>
          <w:sz w:val="28"/>
        </w:rPr>
        <w:t>ESG report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Exclusionary screening (companies)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involved in excluded sectors: controversial and nuclear weapons, tobacco, gambling and restricted sectors in fossil fuel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Elektros perdavimas ir dujų infrastruktūra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Išskirtuose sektoriuose veiklos nėra</w:t>
            </w:r>
            <w:hyperlink r:id="rId21">
              <w:r>
                <w:rPr>
                  <w:color w:val="2A78D6"/>
                  <w:vertAlign w:val="superscript"/>
                  <w:sz w:val="15"/>
                </w:rPr>
                <w:t xml:space="preserve">10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red flag/signal related to controversies based on UN Global Compact, OECD Guidelines for Multinational Enterprises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Ginčų pagal JT Pasaulinį susitarimą ar EBPO gaires nerasta.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not in the list of sanctions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Nerasta EU, UN, US OFAC konsoliduotuose sankcijų sąrašuose (automatinė patikra 2026-10-28).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Rankinė patikra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OFAC sankcijų paieška</w:t>
            </w:r>
            <w:hyperlink r:id="rId30">
              <w:r>
                <w:rPr>
                  <w:color w:val="2A78D6"/>
                  <w:vertAlign w:val="superscript"/>
                  <w:sz w:val="15"/>
                </w:rPr>
                <w:t xml:space="preserve">20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ES sankcijų žemėlapis</w:t>
            </w:r>
            <w:hyperlink r:id="rId31">
              <w:r>
                <w:rPr>
                  <w:color w:val="2A78D6"/>
                  <w:vertAlign w:val="superscript"/>
                  <w:sz w:val="15"/>
                </w:rPr>
                <w:t xml:space="preserve">21</w:t>
              </w:r>
            </w:hyperlink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SEB eNameChecker (vidinė SEB sistema).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issues were not identified from adverse media checks (add a screenshot)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Neigiamų naujienų nerasta (2026-10-22).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Naujienų suvestinė 2026-07-30 – 2026-10-28: 0 pranešimų, iš jų su neigiamu žodžiu antraštėje – 0 (plačiau – skiltyje „Ką rašo spauda“).</w:t>
            </w:r>
          </w:p>
        </w:tc>
      </w:tr>
    </w:tbl>
    <w:p>
      <w:pPr>
        <w:spacing w:before="120" w:after="40"/>
      </w:pPr>
      <w:r>
        <w:rPr>
          <w:i/>
          <w:color w:val="333333"/>
          <w:sz w:val="18"/>
        </w:rPr>
        <w:t>In case any red flags, risks, unclarities were identified then additional checks (sanctions screening and adverse media checks) on the company’s Ultimate Beneficial Owners and/or senior management shall be performed.</w:t>
      </w:r>
    </w:p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ESG integration and positive screening (positive answers imply higher allocation)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is promoting environmental or social characteristics (activities, ESG policy, good ESG rating, etc)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Tinklas jungia atsinaujinančią energiją: 2026 m. I ketv. – 5 nauji prijungimo susitarimai, tarp jų 160 MW hibridinė jėgainė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Planuojamos naujos jungtys su Estija, Švedija ir Vokietija</w:t>
            </w:r>
            <w:hyperlink r:id="rId32">
              <w:r>
                <w:rPr>
                  <w:color w:val="2A78D6"/>
                  <w:vertAlign w:val="superscript"/>
                  <w:sz w:val="15"/>
                </w:rPr>
                <w:t xml:space="preserve">22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33">
              <w:r>
                <w:rPr>
                  <w:color w:val="2A78D6"/>
                  <w:vertAlign w:val="superscript"/>
                  <w:sz w:val="15"/>
                </w:rPr>
                <w:t xml:space="preserve">23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activities of the company or it’s strategy is aligned with the taxonomy and/or Paris agreement targets (e.g. net zero commitment)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Žaliosios obligacijos (2021) finansuoja perdavimo tinklą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SF6 įranga keičiama</w:t>
            </w:r>
            <w:hyperlink r:id="rId12">
              <w:r>
                <w:rPr>
                  <w:color w:val="2A78D6"/>
                  <w:vertAlign w:val="superscript"/>
                  <w:sz w:val="15"/>
                </w:rPr>
                <w:t xml:space="preserve">1</w:t>
              </w:r>
            </w:hyperlink>
            <w:r>
              <w:rPr>
                <w:color w:val="2A78D6"/>
                <w:vertAlign w:val="superscript"/>
              </w:rPr>
              <w:t>,</w:t>
            </w:r>
            <w:hyperlink r:id="rId22">
              <w:r>
                <w:rPr>
                  <w:color w:val="2A78D6"/>
                  <w:vertAlign w:val="superscript"/>
                  <w:sz w:val="15"/>
                </w:rPr>
                <w:t xml:space="preserve">14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does not have yellow flag/signal related to controversies based on UN Global Compact or any other relevant principles/standards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Geltonų signalų nerasta.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Konkursai į valdybą ir stebėtojų tarybą vyksta įprasta tvarka</w:t>
            </w:r>
            <w:hyperlink r:id="rId32">
              <w:r>
                <w:rPr>
                  <w:color w:val="2A78D6"/>
                  <w:vertAlign w:val="superscript"/>
                  <w:sz w:val="15"/>
                </w:rPr>
                <w:t xml:space="preserve">24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company fulfills the expectations from SEB thematic and sector policies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Taikoma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Elektros ir atsinaujinančios energijos politika</w:t>
            </w:r>
            <w:hyperlink r:id="rId34">
              <w:r>
                <w:rPr>
                  <w:color w:val="2A78D6"/>
                  <w:vertAlign w:val="superscript"/>
                  <w:sz w:val="15"/>
                </w:rPr>
                <w:t xml:space="preserve">25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  <w:p>
            <w:pPr>
              <w:spacing w:before="40" w:after="0"/>
            </w:pPr>
            <w:r>
              <w:rPr>
                <w:b/>
                <w:color w:val="333333"/>
                <w:sz w:val="18"/>
              </w:rPr>
              <w:t>Atitinka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Plėtros planas skirtas daugiau atsinaujinančios energijos integruoti, ISO 45001 sauga, metinė tvarumo ataskaita</w:t>
            </w:r>
            <w:hyperlink r:id="rId21">
              <w:r>
                <w:rPr>
                  <w:color w:val="2A78D6"/>
                  <w:vertAlign w:val="superscript"/>
                  <w:sz w:val="15"/>
                </w:rPr>
                <w:t xml:space="preserve">26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Engagement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9AA5B1"/>
                <w:sz w:val="24"/>
              </w:rPr>
              <w:t>☐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Is there a need for pro-active engagement with the company?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Nereikia: valstybės reguliuojama perdavimo įmonė.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keepNext/>
        <w:shd w:val="clear" w:color="auto" w:fill="EEF3F8"/>
        <w:spacing w:before="200" w:after="80"/>
        <w:ind w:left="85"/>
      </w:pPr>
      <w:r>
        <w:rPr>
          <w:b/>
          <w:caps/>
          <w:color w:val="12355B"/>
          <w:sz w:val="19"/>
        </w:rPr>
        <w:t>Indicators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0" w:type="dxa"/>
          <w:bottom w:w="110" w:type="dxa"/>
          <w:right w:w="0" w:type="dxa"/>
        </w:tblCellMar>
        <w:tblLook w:firstColumn="1" w:firstRow="1" w:lastColumn="0" w:lastRow="0" w:noHBand="0" w:noVBand="1" w:val="04A0"/>
      </w:tblPr>
      <w:tblGrid>
        <w:gridCol w:w="340"/>
        <w:gridCol w:w="9298"/>
      </w:tblGrid>
      <w:tr>
        <w:tc>
          <w:tcPr>
            <w:tcW w:type="dxa" w:w="340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0"/>
            </w:pPr>
            <w:r>
              <w:rPr>
                <w:rFonts w:ascii="Segoe UI Symbol" w:hAnsi="Segoe UI Symbol"/>
                <w:b w:val="0"/>
                <w:color w:val="1B7F3B"/>
                <w:sz w:val="24"/>
              </w:rPr>
              <w:t>☑</w:t>
            </w:r>
          </w:p>
        </w:tc>
        <w:tc>
          <w:tcPr>
            <w:tcW w:type="dxa" w:w="9298"/>
            <w:tcBorders>
              <w:top w:val="nil"/>
              <w:left w:val="nil"/>
              <w:bottom w:val="single" w:sz="4" w:color="E3E8EE" w:space="0"/>
              <w:right w:val="nil"/>
            </w:tcBorders>
          </w:tcPr>
          <w:p>
            <w:pPr>
              <w:spacing w:before="0" w:after="40"/>
            </w:pPr>
            <w:r>
              <w:rPr>
                <w:b/>
                <w:color w:val="1B2430"/>
                <w:sz w:val="19"/>
              </w:rPr>
              <w:t>Yes, the indicators of the company support the targets of sustainability and PAI indicators followed by the Fund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Skelbiama tvarumo ataskaita pagal ESRS, nuo 2025 m. ir 3 apimties emisijos</w:t>
            </w:r>
          </w:p>
          <w:p>
            <w:pPr>
              <w:tabs>
                <w:tab w:pos="198" w:val="left"/>
              </w:tabs>
              <w:spacing w:before="0" w:after="20"/>
              <w:ind w:left="198" w:hanging="198"/>
            </w:pPr>
            <w:r>
              <w:rPr>
                <w:b w:val="0"/>
                <w:color w:val="667085"/>
                <w:sz w:val="18"/>
              </w:rPr>
              <w:t>•</w:t>
              <w:tab/>
            </w:r>
            <w:r>
              <w:rPr>
                <w:b w:val="0"/>
                <w:color w:val="333333"/>
                <w:sz w:val="18"/>
              </w:rPr>
              <w:t>Perdirbama beveik 100 % atliekų</w:t>
            </w:r>
            <w:hyperlink r:id="rId21">
              <w:r>
                <w:rPr>
                  <w:color w:val="2A78D6"/>
                  <w:vertAlign w:val="superscript"/>
                  <w:sz w:val="15"/>
                </w:rPr>
                <w:t xml:space="preserve">27</w:t>
              </w:r>
            </w:hyperlink>
            <w:r>
              <w:rPr>
                <w:b w:val="0"/>
                <w:color w:val="333333"/>
                <w:sz w:val="18"/>
              </w:rPr>
              <w:t>.</w:t>
            </w:r>
          </w:p>
        </w:tc>
      </w:tr>
    </w:tbl>
    <w:p>
      <w:pPr>
        <w:spacing w:before="120" w:after="40"/>
      </w:pPr>
      <w:r>
        <w:rPr>
          <w:b/>
          <w:sz w:val="19"/>
        </w:rPr>
        <w:t xml:space="preserve">Additional comments: </w:t>
      </w:r>
    </w:p>
    <w:p>
      <w:pPr>
        <w:spacing w:before="120" w:after="40"/>
      </w:pPr>
      <w:r>
        <w:rPr>
          <w:b/>
          <w:sz w:val="19"/>
        </w:rPr>
        <w:t xml:space="preserve">Conclusion: </w:t>
      </w:r>
      <w:r>
        <w:rPr>
          <w:b w:val="0"/>
          <w:sz w:val="19"/>
        </w:rPr>
        <w:t>Išimčių ir raudonų signalų nėra. Perdavimo tinklas yra būtinas atsinaujinančios energijos plėtrai.</w:t>
      </w:r>
    </w:p>
    <w:p>
      <w:pPr>
        <w:spacing w:before="40" w:after="60"/>
      </w:pPr>
      <w:r>
        <w:rPr>
          <w:b w:val="0"/>
          <w:color w:val="667085"/>
          <w:sz w:val="16"/>
        </w:rPr>
        <w:t>Taikytos SEB politikos: Policy on Sustainability Considerations in Investments (SEB AB); Electricity &amp; Renewable Energy sector policy; Environmental Policy on Climate, Nature and Water (thematic); Social and Human Rights Policy (thematic); Governance expectations in sector policies (anti-corruption, tax, reporting)</w:t>
      </w:r>
    </w:p>
    <w:p>
      <w:pPr>
        <w:keepNext/>
        <w:pBdr>
          <w:bottom w:val="single" w:sz="8" w:color="12355B" w:space="4"/>
        </w:pBdr>
        <w:tabs>
          <w:tab w:pos="482" w:val="left"/>
        </w:tabs>
        <w:spacing w:before="360" w:after="160"/>
      </w:pPr>
      <w:r>
        <w:rPr>
          <w:b/>
          <w:color w:val="2A78D6"/>
          <w:sz w:val="18"/>
        </w:rPr>
        <w:t>10</w:t>
        <w:tab/>
      </w:r>
      <w:r>
        <w:rPr>
          <w:b/>
          <w:color w:val="12355B"/>
          <w:sz w:val="28"/>
        </w:rPr>
        <w:t>Šaltiniai</w:t>
      </w:r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1.</w:t>
        <w:tab/>
      </w:r>
      <w:hyperlink r:id="rId12">
        <w:r>
          <w:rPr>
            <w:color w:val="2A78D6"/>
            <w:sz w:val="17"/>
          </w:rPr>
          <w:t xml:space="preserve">AST - Interim financial statements 12M 2025, p. 14,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2.</w:t>
        <w:tab/>
      </w:r>
      <w:hyperlink r:id="rId13">
        <w:r>
          <w:rPr>
            <w:color w:val="2A78D6"/>
            <w:sz w:val="17"/>
          </w:rPr>
          <w:t xml:space="preserve">AST - Condensed interim financial statements 6M 2026 (unaudited), p. 11-12,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3.</w:t>
        <w:tab/>
      </w:r>
      <w:hyperlink r:id="rId14">
        <w:r>
          <w:rPr>
            <w:color w:val="2A78D6"/>
            <w:sz w:val="17"/>
          </w:rPr>
          <w:t xml:space="preserve">Nasdaq Baltic - AST reports list, 2026-10-19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4.</w:t>
        <w:tab/>
      </w:r>
      <w:hyperlink r:id="rId16">
        <w:r>
          <w:rPr>
            <w:color w:val="2A78D6"/>
            <w:sz w:val="17"/>
          </w:rPr>
          <w:t xml:space="preserve">AST - Condensed interim financial statements 6M 2026 (unaudited), p. 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5.</w:t>
        <w:tab/>
      </w:r>
      <w:hyperlink r:id="rId17">
        <w:r>
          <w:rPr>
            <w:color w:val="2A78D6"/>
            <w:sz w:val="17"/>
          </w:rPr>
          <w:t xml:space="preserve">AST - Condensed interim financial statements 6M 2026 (unaudited), p. 4, 11,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6.</w:t>
        <w:tab/>
      </w:r>
      <w:hyperlink r:id="rId17">
        <w:r>
          <w:rPr>
            <w:color w:val="2A78D6"/>
            <w:sz w:val="17"/>
          </w:rPr>
          <w:t xml:space="preserve">AST - Condensed interim financial statements 6M 2026 (unaudited), p. 4,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7.</w:t>
        <w:tab/>
      </w:r>
      <w:hyperlink r:id="rId13">
        <w:r>
          <w:rPr>
            <w:color w:val="2A78D6"/>
            <w:sz w:val="17"/>
          </w:rPr>
          <w:t xml:space="preserve">AST - Condensed interim financial statements 6M 2026 (unaudited), p. 11,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8.</w:t>
        <w:tab/>
      </w:r>
      <w:hyperlink r:id="rId18">
        <w:r>
          <w:rPr>
            <w:color w:val="2A78D6"/>
            <w:sz w:val="17"/>
          </w:rPr>
          <w:t xml:space="preserve">AST - Interim financial statements 12M 2025, p. 13,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9.</w:t>
        <w:tab/>
      </w:r>
      <w:hyperlink r:id="rId19">
        <w:r>
          <w:rPr>
            <w:color w:val="2A78D6"/>
            <w:sz w:val="17"/>
          </w:rPr>
          <w:t xml:space="preserve">AST - Interim financial statements 12M 2025, p. 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10.</w:t>
        <w:tab/>
      </w:r>
      <w:hyperlink r:id="rId21">
        <w:r>
          <w:rPr>
            <w:color w:val="2A78D6"/>
            <w:sz w:val="17"/>
          </w:rPr>
          <w:t xml:space="preserve">AST - Annual report 2025 (sustainability report and audited financial statements), p. 8, 11, 2026-04-24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11.</w:t>
        <w:tab/>
      </w:r>
      <w:hyperlink r:id="rId22">
        <w:r>
          <w:rPr>
            <w:color w:val="2A78D6"/>
            <w:sz w:val="17"/>
          </w:rPr>
          <w:t xml:space="preserve">AST - Annual report 2025 (sustainability report and audited financial statements), p. 15-16, 2026-04-24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12.</w:t>
        <w:tab/>
      </w:r>
      <w:hyperlink r:id="rId23">
        <w:r>
          <w:rPr>
            <w:color w:val="2A78D6"/>
            <w:sz w:val="17"/>
          </w:rPr>
          <w:t xml:space="preserve">AST - Interim financial statements 12M 2025, p. 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13.</w:t>
        <w:tab/>
      </w:r>
      <w:hyperlink r:id="rId24">
        <w:r>
          <w:rPr>
            <w:color w:val="2A78D6"/>
            <w:sz w:val="17"/>
          </w:rPr>
          <w:t xml:space="preserve">AST - Condensed interim financial statements 6M 2026 (unaudited), p. 22,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14.</w:t>
        <w:tab/>
      </w:r>
      <w:hyperlink r:id="rId22">
        <w:r>
          <w:rPr>
            <w:color w:val="2A78D6"/>
            <w:sz w:val="17"/>
          </w:rPr>
          <w:t xml:space="preserve">AST - Annual report 2025 (sustainability report and audited financial statements), p. 15, 2026-04-24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15.</w:t>
        <w:tab/>
      </w:r>
      <w:hyperlink r:id="rId25">
        <w:r>
          <w:rPr>
            <w:color w:val="2A78D6"/>
            <w:sz w:val="17"/>
          </w:rPr>
          <w:t xml:space="preserve">AST - Interim financial statements 12M 2025, p. 7,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16.</w:t>
        <w:tab/>
      </w:r>
      <w:hyperlink r:id="rId26">
        <w:r>
          <w:rPr>
            <w:color w:val="2A78D6"/>
            <w:sz w:val="17"/>
          </w:rPr>
          <w:t xml:space="preserve">Nasdaq Baltic - AST 0.5% green bond LV0000802528, 2026-10-22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17.</w:t>
        <w:tab/>
      </w:r>
      <w:hyperlink r:id="rId27">
        <w:r>
          <w:rPr>
            <w:color w:val="2A78D6"/>
            <w:sz w:val="17"/>
          </w:rPr>
          <w:t xml:space="preserve">AST - Condensed interim financial statements 6M 2026 (unaudited), p. 8,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18.</w:t>
        <w:tab/>
      </w:r>
      <w:hyperlink r:id="rId28">
        <w:r>
          <w:rPr>
            <w:color w:val="2A78D6"/>
            <w:sz w:val="17"/>
          </w:rPr>
          <w:t xml:space="preserve">AST - Condensed interim financial statements 6M 2026 (unaudited), p. 9,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19.</w:t>
        <w:tab/>
      </w:r>
      <w:hyperlink r:id="rId29">
        <w:r>
          <w:rPr>
            <w:color w:val="2A78D6"/>
            <w:sz w:val="17"/>
          </w:rPr>
          <w:t xml:space="preserve">AST - Condensed interim financial statements 6M 2026 (unaudited), p. 6,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20.</w:t>
        <w:tab/>
      </w:r>
      <w:hyperlink r:id="rId30">
        <w:r>
          <w:rPr>
            <w:color w:val="2A78D6"/>
            <w:sz w:val="17"/>
          </w:rPr>
          <w:t xml:space="preserve">OFAC Sanctions List Search (US Treasury)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21.</w:t>
        <w:tab/>
      </w:r>
      <w:hyperlink r:id="rId31">
        <w:r>
          <w:rPr>
            <w:color w:val="2A78D6"/>
            <w:sz w:val="17"/>
          </w:rPr>
          <w:t xml:space="preserve">EU Sanctions Map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22.</w:t>
        <w:tab/>
      </w:r>
      <w:hyperlink r:id="rId32">
        <w:r>
          <w:rPr>
            <w:color w:val="2A78D6"/>
            <w:sz w:val="17"/>
          </w:rPr>
          <w:t xml:space="preserve">AST - Condensed interim financial statements 6M 2026 (unaudited), p. 5, 11,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23.</w:t>
        <w:tab/>
      </w:r>
      <w:hyperlink r:id="rId33">
        <w:r>
          <w:rPr>
            <w:color w:val="2A78D6"/>
            <w:sz w:val="17"/>
          </w:rPr>
          <w:t xml:space="preserve">AST - Annual report 2025 (sustainability report and audited financial statements), p. 18, 2026-04-24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24.</w:t>
        <w:tab/>
      </w:r>
      <w:hyperlink r:id="rId32">
        <w:r>
          <w:rPr>
            <w:color w:val="2A78D6"/>
            <w:sz w:val="17"/>
          </w:rPr>
          <w:t xml:space="preserve">AST - Condensed interim financial statements 6M 2026 (unaudited), p. 5, 2026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25.</w:t>
        <w:tab/>
      </w:r>
      <w:hyperlink r:id="rId34">
        <w:r>
          <w:rPr>
            <w:color w:val="2A78D6"/>
            <w:sz w:val="17"/>
          </w:rPr>
          <w:t xml:space="preserve">SEB Sector Policy on Electricity &amp; Renewable Energy (2026-04-23), p. 6-8, 2026-04-23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26.</w:t>
        <w:tab/>
      </w:r>
      <w:hyperlink r:id="rId21">
        <w:r>
          <w:rPr>
            <w:color w:val="2A78D6"/>
            <w:sz w:val="17"/>
          </w:rPr>
          <w:t xml:space="preserve">AST - Annual report 2025 (sustainability report and audited financial statements), p. 8-9, 15, 2026-04-24</w:t>
        </w:r>
      </w:hyperlink>
    </w:p>
    <w:p>
      <w:pPr>
        <w:tabs>
          <w:tab w:pos="397" w:val="left"/>
        </w:tabs>
        <w:spacing w:before="0" w:after="30"/>
        <w:ind w:left="397" w:hanging="397"/>
      </w:pPr>
      <w:r>
        <w:rPr>
          <w:b w:val="0"/>
          <w:color w:val="667085"/>
          <w:sz w:val="17"/>
        </w:rPr>
        <w:t>27.</w:t>
        <w:tab/>
      </w:r>
      <w:hyperlink r:id="rId21">
        <w:r>
          <w:rPr>
            <w:color w:val="2A78D6"/>
            <w:sz w:val="17"/>
          </w:rPr>
          <w:t xml:space="preserve">AST - Annual report 2025 (sustainability report and audited financial statements), p. 8, 24, 2026-04-24</w:t>
        </w:r>
      </w:hyperlink>
    </w:p>
    <w:p>
      <w:pPr>
        <w:spacing w:before="40" w:after="60"/>
      </w:pPr>
      <w:r>
        <w:rPr>
          <w:b w:val="0"/>
          <w:color w:val="667085"/>
          <w:sz w:val="16"/>
        </w:rPr>
        <w:t>Ataskaita parengta iš viešų šaltinių. Skaičiai pateikiami taip, kaip juos skelbia emitentas; maži numeriai prie teksto veda į šaltinių sąrašą.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34" w:bottom="1020" w:left="1134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Augstsprieguma tīkls (AST)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color="D5DCE4" w:space="4"/>
      </w:pBdr>
      <w:tabs>
        <w:tab w:pos="9638" w:val="right"/>
      </w:tabs>
    </w:pPr>
    <w:r>
      <w:rPr>
        <w:b w:val="0"/>
        <w:color w:val="667085"/>
        <w:sz w:val="16"/>
      </w:rPr>
      <w:t>Augstsprieguma tīkls (AST) · 6M2026 · 2026-10-22</w:t>
      <w:tab/>
    </w:r>
    <w:r>
      <w:rPr>
        <w:b/>
        <w:color w:val="12355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color="D5DCE4" w:space="4"/>
      </w:pBdr>
      <w:tabs>
        <w:tab w:pos="9638" w:val="right"/>
      </w:tabs>
    </w:pPr>
    <w:r>
      <w:rPr>
        <w:b/>
        <w:color w:val="12355B"/>
        <w:sz w:val="16"/>
      </w:rPr>
      <w:t>Augstsprieguma tīkls (AST)</w:t>
    </w:r>
    <w:r>
      <w:rPr>
        <w:b w:val="0"/>
        <w:color w:val="667085"/>
        <w:sz w:val="16"/>
      </w:rPr>
      <w:tab/>
      <w:t>Emitento apžvalga · 6M2026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nasdaqbaltic.com/market/upload/reports/ast/2025_q4_en_con.pdf#page=14" TargetMode="External"/><Relationship Id="rId13" Type="http://schemas.openxmlformats.org/officeDocument/2006/relationships/hyperlink" Target="https://nasdaqbaltic.com/market/upload/reports/ast/2026_q2_en_con.pdf#page=11" TargetMode="External"/><Relationship Id="rId14" Type="http://schemas.openxmlformats.org/officeDocument/2006/relationships/hyperlink" Target="https://nasdaqbaltic.com/statistics/en/instrument/LV0000802528/reports" TargetMode="External"/><Relationship Id="rId15" Type="http://schemas.openxmlformats.org/officeDocument/2006/relationships/image" Target="media/image1.png"/><Relationship Id="rId16" Type="http://schemas.openxmlformats.org/officeDocument/2006/relationships/hyperlink" Target="https://nasdaqbaltic.com/market/upload/reports/ast/2026_q2_en_con.pdf#page=3" TargetMode="External"/><Relationship Id="rId17" Type="http://schemas.openxmlformats.org/officeDocument/2006/relationships/hyperlink" Target="https://nasdaqbaltic.com/market/upload/reports/ast/2026_q2_en_con.pdf#page=4" TargetMode="External"/><Relationship Id="rId18" Type="http://schemas.openxmlformats.org/officeDocument/2006/relationships/hyperlink" Target="https://nasdaqbaltic.com/market/upload/reports/ast/2025_q4_en_con.pdf#page=13" TargetMode="External"/><Relationship Id="rId19" Type="http://schemas.openxmlformats.org/officeDocument/2006/relationships/hyperlink" Target="https://nasdaqbaltic.com/market/upload/reports/ast/2025_q4_en_con.pdf#page=5" TargetMode="External"/><Relationship Id="rId20" Type="http://schemas.openxmlformats.org/officeDocument/2006/relationships/image" Target="media/image2.png"/><Relationship Id="rId21" Type="http://schemas.openxmlformats.org/officeDocument/2006/relationships/hyperlink" Target="https://nasdaqbaltic.com/market/upload/reports/ast/2025_ar_en_con.pdf#page=8" TargetMode="External"/><Relationship Id="rId22" Type="http://schemas.openxmlformats.org/officeDocument/2006/relationships/hyperlink" Target="https://nasdaqbaltic.com/market/upload/reports/ast/2025_ar_en_con.pdf#page=15" TargetMode="External"/><Relationship Id="rId23" Type="http://schemas.openxmlformats.org/officeDocument/2006/relationships/hyperlink" Target="https://nasdaqbaltic.com/market/upload/reports/ast/2025_q4_en_con.pdf#page=8" TargetMode="External"/><Relationship Id="rId24" Type="http://schemas.openxmlformats.org/officeDocument/2006/relationships/hyperlink" Target="https://nasdaqbaltic.com/market/upload/reports/ast/2026_q2_en_con.pdf#page=22" TargetMode="External"/><Relationship Id="rId25" Type="http://schemas.openxmlformats.org/officeDocument/2006/relationships/hyperlink" Target="https://nasdaqbaltic.com/market/upload/reports/ast/2025_q4_en_con.pdf#page=7" TargetMode="External"/><Relationship Id="rId26" Type="http://schemas.openxmlformats.org/officeDocument/2006/relationships/hyperlink" Target="https://nasdaqbaltic.com/statistics/en/instrument/LV0000802528/security?date=2026-10-19" TargetMode="External"/><Relationship Id="rId27" Type="http://schemas.openxmlformats.org/officeDocument/2006/relationships/hyperlink" Target="https://nasdaqbaltic.com/market/upload/reports/ast/2026_q2_en_con.pdf#page=8" TargetMode="External"/><Relationship Id="rId28" Type="http://schemas.openxmlformats.org/officeDocument/2006/relationships/hyperlink" Target="https://nasdaqbaltic.com/market/upload/reports/ast/2026_q2_en_con.pdf#page=9" TargetMode="External"/><Relationship Id="rId29" Type="http://schemas.openxmlformats.org/officeDocument/2006/relationships/hyperlink" Target="https://nasdaqbaltic.com/market/upload/reports/ast/2026_q2_en_con.pdf#page=6" TargetMode="External"/><Relationship Id="rId30" Type="http://schemas.openxmlformats.org/officeDocument/2006/relationships/hyperlink" Target="https://sanctionssearch.ofac.treas.gov/" TargetMode="External"/><Relationship Id="rId31" Type="http://schemas.openxmlformats.org/officeDocument/2006/relationships/hyperlink" Target="https://www.sanctionsmap.eu/#/main" TargetMode="External"/><Relationship Id="rId32" Type="http://schemas.openxmlformats.org/officeDocument/2006/relationships/hyperlink" Target="https://nasdaqbaltic.com/market/upload/reports/ast/2026_q2_en_con.pdf#page=5" TargetMode="External"/><Relationship Id="rId33" Type="http://schemas.openxmlformats.org/officeDocument/2006/relationships/hyperlink" Target="https://nasdaqbaltic.com/market/upload/reports/ast/2025_ar_en_con.pdf#page=18" TargetMode="External"/><Relationship Id="rId34" Type="http://schemas.openxmlformats.org/officeDocument/2006/relationships/hyperlink" Target="https://webapp.sebgroup.com/mb/mblib.nsf/dld/60D2454400789893C12587D70030AFC1?opendocu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