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5,375 %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5,5 %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6,0 %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4,125 %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81,91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15,28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20,25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mūsų skaičiavimas),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– mūsų skaičiavimas).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(mūsų skaičiavimas)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Didesnės palūkanos – didesnės pajamos:</w:t>
      </w:r>
      <w:r>
        <w:rPr>
          <w:b w:val="0"/>
        </w:rPr>
        <w:t xml:space="preserve"> III ketv. grynosios palūkanų pajamos 68,8 mln. EUR (+24 % per metus); vadovybės teigimu, pajamos viršija planą dėl aukštesnių nei tikėtasi rinkos palūkanų ir stiprios paskolų paklausos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Palūkanų aplinka:</w:t>
      </w:r>
      <w:r>
        <w:rPr>
          <w:b w:val="0"/>
        </w:rPr>
        <w:t xml:space="preserve"> ECB padidino indėlių normą iki 2,50 %, 6 mėn. Euribor rugsėjo pabaigoje pakilo iki 3,0 %, 12 mėn. – apie 3,3 %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Estijoje infliacija rugsėjį paspartėjo iki 3,5 %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tikina, kad finansinio plano tikslai bus pasiekti – rodikliai geresni nei planuota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2026-07-30 – 2026-10-28: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LHV Groupi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12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7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9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0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5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1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2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3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4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5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6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rgFBVV95cUxPSHF3NDNITlFaSkV1NnU2bmk4dmN5YkZWc2l3YWdzV1ZXYkVLRzJ4NGc0LXBTR29nTzNzY1pHZGtlVHJBTkJ3ajZETjJkZWlNd05RUHNRS1RDTktYbWdwQk5rYXJDU0VQeklSNmhKbHpMUmVTOVFMZGl6eVhOLV9qZWdPUEFneUxaNnBFamlaZXZHUDdYOXFNOXVzQ3hYSjk3TFhLR08xdUhaVG5vLWc?oc=5" TargetMode="External"/><Relationship Id="rId40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1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2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3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4" Type="http://schemas.openxmlformats.org/officeDocument/2006/relationships/hyperlink" Target="https://www.lhv.ee/en/esg" TargetMode="External"/><Relationship Id="rId45" Type="http://schemas.openxmlformats.org/officeDocument/2006/relationships/hyperlink" Target="https://www.lhv.ee/assets/files/LHV_Group_Annual_Sustainability_Report_2025-EN.pdf#page=80" TargetMode="External"/><Relationship Id="rId46" Type="http://schemas.openxmlformats.org/officeDocument/2006/relationships/hyperlink" Target="https://sanctionssearch.ofac.treas.gov/" TargetMode="External"/><Relationship Id="rId47" Type="http://schemas.openxmlformats.org/officeDocument/2006/relationships/hyperlink" Target="https://www.sanctionsmap.eu/#/main" TargetMode="External"/><Relationship Id="rId48" Type="http://schemas.openxmlformats.org/officeDocument/2006/relationships/hyperlink" Target="https://www.err.ee/1609754001/lhv-nouab-rahapesu-andmeburoolt-pangasaladuse-asjas-247-miljonit" TargetMode="External"/><Relationship Id="rId49" Type="http://schemas.openxmlformats.org/officeDocument/2006/relationships/hyperlink" Target="https://www.lhv.ee/assets/files/LHV_Group_Annual_Sustainability_Report_2025-EN.pdf#page=97" TargetMode="External"/><Relationship Id="rId50" Type="http://schemas.openxmlformats.org/officeDocument/2006/relationships/hyperlink" Target="https://www.lhv.ee/assets/files/LHV_Group_Annual_Sustainability_Report_2025-EN.pdf#page=81" TargetMode="External"/><Relationship Id="rId51" Type="http://schemas.openxmlformats.org/officeDocument/2006/relationships/hyperlink" Target="https://www.lhv.ee/assets/files/LHV_Group_Annual_Sustainability_Report_2025-EN.pdf#page=95" TargetMode="External"/><Relationship Id="rId52" Type="http://schemas.openxmlformats.org/officeDocument/2006/relationships/hyperlink" Target="https://sebgroup.com/sustainability/our-sustainability-strategy/policies" TargetMode="External"/><Relationship Id="rId53" Type="http://schemas.openxmlformats.org/officeDocument/2006/relationships/hyperlink" Target="https://www.lhv.ee/assets/files/LHV_Group_Annual_Sustainability_Report_2025-EN.pdf#page=90" TargetMode="External"/><Relationship Id="rId54" Type="http://schemas.openxmlformats.org/officeDocument/2006/relationships/hyperlink" Target="https://www.lhv.ee/assets/files/LHV_Group_Annual_Sustainability_Report_2025-EN.pdf#page=88" TargetMode="External"/><Relationship Id="rId55" Type="http://schemas.openxmlformats.org/officeDocument/2006/relationships/hyperlink" Target="https://www.lhv.ee/assets/files/LHV_Group_Annual_Sustainability_Report_2025-EN.pdf#page=98" TargetMode="External"/><Relationship Id="rId56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