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Energy utility (networks, renewables, flexibility,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share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2.000%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1.875%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2.000%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Credit quality is stable: BBB+ / Baa1 ratings and leverage of 3.49x, inside the 3-4x target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Profit is weaker, but the 2026 guidance was kept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The held bond XS1646530565 is subject to the issuer's tender offer of 2026-10-19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Adjusted 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115.8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20.8 %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1,925.3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3.49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Earnings on track:</w:t>
      </w:r>
      <w:r>
        <w:rPr>
          <w:b w:val="0"/>
        </w:rPr>
        <w:t xml:space="preserve"> 6M Adjusted EBITDA was EUR 306.6m, up 1.9%. Networks and Customers &amp; Solutions grew; Green Capacities fell to EUR 149.2m from 166.6m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The 2026 guidance of EUR 550-600m was kept, and about half of it is already reached (51-56%)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under control:</w:t>
      </w:r>
      <w:r>
        <w:rPr>
          <w:b w:val="0"/>
        </w:rPr>
        <w:t xml:space="preserve"> net debt EUR 1,925.3m, almost unchanged since year-end (+0.7%). Leverage is 3.49x net debt / EBITDA. One metric lags: FFO / net debt 22.2% against a target of at least 23%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Ratings stable:</w:t>
      </w:r>
      <w:r>
        <w:rPr>
          <w:b w:val="0"/>
        </w:rPr>
        <w:t xml:space="preserve"> S&amp;P BBB+ (stable, confirmed 2026-07-28) and Moody's Baa1 (stable, first rating in 2026)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Decision needed on a held bond:</w:t>
      </w:r>
      <w:r>
        <w:rPr>
          <w:b w:val="0"/>
        </w:rPr>
        <w:t xml:space="preserve"> on 2026-10-19 Ignitis offered to buy back XS1646530565 (2.000%, matures 2027-07-14). The buy-back is financed by a new EUR 300m green bond at 4.500% due 2031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is the weak spot:</w:t>
      </w:r>
      <w:r>
        <w:rPr>
          <w:b w:val="0"/>
        </w:rPr>
        <w:t xml:space="preserve"> adjusted net profit fell 20.8% to EUR 115.8m. Return on capital (Adjusted ROCE, LTM) dropped to 6.7% from 8.6%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1.875%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2.000%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1,298.0*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EBITDA,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303.5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net profit,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277.5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115.8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343.2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Free cash flow, EUR 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91.7 %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1,612.3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1,912.0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1,609.9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1,925.3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29.7%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29.8%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22.2%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Adjusted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7.5%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6.7%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2,436.8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2,494.7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2,492.0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2,636.1*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5,706.0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6,278.9*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5,897.3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6,339.2*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Installed green capacity,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e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Networks:</w:t>
      </w:r>
      <w:r>
        <w:rPr>
          <w:b w:val="0"/>
        </w:rPr>
        <w:t xml:space="preserve"> investments EUR 208.3m (+26.1%), 68% of total; segment Adjusted EBITDA EUR 147.3m (132.6m)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Capacities:</w:t>
      </w:r>
      <w:r>
        <w:rPr>
          <w:b w:val="0"/>
        </w:rPr>
        <w:t xml:space="preserve"> 2.1 GW installed, 0.6 GW under construction (0.7 GW after the Tume BESS FID), 3.4 GW secured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declined due to weaker wind in Q1-Q2 and a lower hedge price (EUR 130 → 82/MWh)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Reserve Capacities:</w:t>
      </w:r>
      <w:r>
        <w:rPr>
          <w:b w:val="0"/>
        </w:rPr>
        <w:t xml:space="preserve"> Adjusted EBITDA EUR 17.9m (29.1m, −38%); the balancing market is becoming more competitive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Customers &amp; Solutions:</w:t>
      </w:r>
      <w:r>
        <w:rPr>
          <w:b w:val="0"/>
        </w:rPr>
        <w:t xml:space="preserve"> EBITDA EUR 0.2m (−27.7m); supported by higher volumes in a cold winter and one-off gas wholesale deals in Q1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Prosumer impact c. EUR −30m EBITDA in 2025, expected somewhat higher in 2026, 60-70% to be covered by new legislation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Projects and deals:</w:t>
      </w:r>
      <w:r>
        <w:rPr>
          <w:b w:val="0"/>
        </w:rPr>
        <w:t xml:space="preserve"> 49% of Vilnius CHP sold (Quaero Capital, March 2026); 399 MW / 798 MWh of BESS under construction; Kruonis PSHP unit 5 ~80% complete; data-centre partner search launched 2026-08-11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Safety:</w:t>
      </w:r>
      <w:r>
        <w:rPr>
          <w:b w:val="0"/>
        </w:rPr>
        <w:t xml:space="preserve"> a contractor employee was fatally injured in February 2026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6M revenue EUR 1,497.5m (+15.4%), EBITDA EUR 303.5m (262.5m), net profit EUR 113.2m (111.4m)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EUR 251.4m (+11.3%), free cash flow EUR 5.3m (64.0m); investments EUR 306.1m (343.2m, −10.8%)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FY2025:</w:t>
      </w:r>
      <w:r>
        <w:rPr>
          <w:b w:val="0"/>
        </w:rPr>
        <w:t xml:space="preserve"> Adjusted EBITDA EUR 546.1m (+3.4%), adjusted net profit EUR 225.7m (−18.7%), net debt up 18.6% to EUR 1,912.0m, FFO / net debt 21.0% (29.7% in 2024)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Adjusted EBITDA EUR 550-600m (set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306.6m; guidance reiterated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covers 51-56% of the range. Networks and Customers &amp; Solutions grew; Green Capacities fell on weaker wind and a lower hedge price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investments EUR 590-690m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6M: EUR 306.1m (44-52% of the range)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track: 6M investments EUR 306.1m (−10.8% y/y); 68% went to Networks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2025-2028: investments EUR 3.0-4.0bn, 2028 Adjusted EBITDA EUR 600-680m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strategy 2026-2029: investments EUR 2.5-3.0bn, 2029 EBITDA EUR 640-700m (investment envelope reduced)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Changed: the new 2026-2029 plan cuts the investment envelope to EUR 2.5-3.0bn and raises the EBITDA target to EUR 640-700m for 2029. Reason: not stated in the sources reviewed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Revised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 ≥23% (2026-2029)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YE2025: 21.0%; 30 Jun 2026 (LTM): 22.2%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Improving but still below target: 21.0% → 22.2% as FFO grew 11.3% while net debt stayed flat (+0.7%)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Adjusted EBITDA 3-4x; rating BBB or above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3.49x;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leverage 3.49x, in the middle of the range; net debt +0.7% since YE2025; ratings stable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 growth ≥3% a year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EUR 1.366 (+3.0%); H1 2026: EUR 0.704 (+3.1%)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Met: +3.0% for 2025 and +3.1% for H1 2026, although adjusted profit fell 20.8% and free cash flow (EUR 5.3m) does not cover the dividend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capacity 2.8-3.2 GW by 2029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2.1 GW installed, 0.7 GW under construction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Progressing: 2.1 GW installed + 0.7 GW under construction = 2.8 GW, the bottom of the target range (own calculation)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shares (IGN1L) and three bonds (2027, 2028, 2030). The bonds are senior unsecured and carry the issuer rating of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bondholders:</w:t>
      </w:r>
      <w:r>
        <w:rPr>
          <w:b w:val="0"/>
        </w:rPr>
        <w:t xml:space="preserve"> leverage (3.49x) is within the strategic 3-4x range and ratings are stable; FFO / net debt (22.2%) is still below the ≥23% target. Investment is mostly in regulated networks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the 2026-10-19 tender offer requires a decision (tender or hold to 2027-07-14). Terms and deadline are in the issuer's Tender Offer Launch Announcement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shareholders:</w:t>
      </w:r>
      <w:r>
        <w:rPr>
          <w:b w:val="0"/>
        </w:rPr>
        <w:t xml:space="preserve"> H1 dividend EUR 0.704 (+3.1%), while adjusted profit is declining (−20.8%). Free cash flow EUR 5.3m - investment and dividends are partly debt-funded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financial position broadly unchanged versus year-end 2025; credit metrics within strategic limits, ratings stable. Watch: 9M report (2026-11-11), wind and price effects on Green Capacities, FFO / net debt returning to ≥23%.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winter cut both ways:</w:t>
      </w:r>
      <w:r>
        <w:rPr>
          <w:b w:val="0"/>
        </w:rPr>
        <w:t xml:space="preserve"> Customers &amp; Solutions EBITDA rose significantly on higher volumes in the cold winter and one-off gas wholesale deals in Q1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but Green Capacities EBITDA fell 10% to EUR 149m on lower captured price and volume – the hedge price fell from EUR 130 to 82/MWh and wind speeds were very low in the cold winter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Balancing market maturing:</w:t>
      </w:r>
      <w:r>
        <w:rPr>
          <w:b w:val="0"/>
        </w:rPr>
        <w:t xml:space="preserve"> Reserve Capacities EBITDA fell 38% on lower balancing-capacity results as the market becomes more competitive, plus a planned overhaul of Elektrėnai Unit 7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Regulation:</w:t>
      </w:r>
      <w:r>
        <w:rPr>
          <w:b w:val="0"/>
        </w:rPr>
        <w:t xml:space="preserve"> under the new prosumer law, from 2027-01-01 the tariff will be funded by prosumers (up to EUR 0.01/kWh) and other consumers (up to EUR 0.003/kWh)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the CFO expects this to cover about 60-70% of current losses (prosumer EBITDA was about EUR -30m last year)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Guidance unchanged:</w:t>
      </w:r>
      <w:r>
        <w:rPr>
          <w:b w:val="0"/>
        </w:rPr>
        <w:t xml:space="preserve"> 2026 Adjusted EBITDA EUR 550-600m, investments EUR 590-690m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Green bond and tender:</w:t>
      </w:r>
      <w:r>
        <w:rPr>
          <w:b w:val="0"/>
        </w:rPr>
        <w:t xml:space="preserve"> on 2026-10-19 the group announced its first European Green Bond (EuGB) issue and a tender offer for the notes due 2027-07-14; on 2026-10-20/21 the press reported the EUR 300m 5-year bond was priced at a 4.500% coupon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Offshore wind:</w:t>
      </w:r>
      <w:r>
        <w:rPr>
          <w:b w:val="0"/>
        </w:rPr>
        <w:t xml:space="preserve"> on 2026-10-22 the press widely reported that the group proposes to postpone the Baltic offshore wind project (Curonian Nord) as costs rose 27% (a project of about EUR 3bn)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the final candidate for Chair of the Management Board and CEO was approved (2026-09-23); a board member for Energy Markets and Commerce was selected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EN, EE, LT, LV), 2026-07-25 – 2026-10-23: 99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BONDS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Ignitis Group Prices €300 Million European Green Bond</w:t>
              </w:r>
            </w:hyperlink>
            <w:r>
              <w:rPr>
                <w:b w:val="0"/>
                <w:color w:val="667085"/>
                <w:sz w:val="15"/>
              </w:rPr>
              <w:t xml:space="preserve">   Serrari Group  ·  13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Selection announced for a member of the Management Board of “Ignitis grupė” responsible for Energy Markets and Commerce</w:t>
              </w:r>
            </w:hyperlink>
            <w:r>
              <w:rPr>
                <w:b w:val="0"/>
                <w:color w:val="667085"/>
                <w:sz w:val="15"/>
              </w:rPr>
              <w:t xml:space="preserve">   Yahoo Finance UK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Approved the final candidate for the position of Chair of the Management Board and Chief Executive Officer of AB “Ignitis grupė”</w:t>
              </w:r>
            </w:hyperlink>
            <w:r>
              <w:rPr>
                <w:b w:val="0"/>
                <w:color w:val="667085"/>
                <w:sz w:val="15"/>
              </w:rPr>
              <w:t xml:space="preserve">   Yahoo Finance UK  ·  11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Dienos akcentai: degalų kainos mažina šalies konkurencingumą ir „Ignitis“ planai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Ignitis seeks to postpone Lithuania’s $3bn offshore wind project</w:t>
              </w:r>
            </w:hyperlink>
            <w:r>
              <w:rPr>
                <w:b w:val="0"/>
                <w:color w:val="667085"/>
                <w:sz w:val="15"/>
              </w:rPr>
              <w:t xml:space="preserve">   Splash247  ·  5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„Ignitis“ Estijoje svarsto statyti 200 MW galios dujinę jėgainę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Leedu Ignitis külmutab meretuulepargi plaanid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"Ignitis" ievieš gudro elektroauto uzlādi mājās. Veic uzlādi tad, kad tas ir visizdevīgāk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Ignitise tütarfirma kaalub gaasielektrijaama rajamist Tartu külje alla</w:t>
              </w:r>
            </w:hyperlink>
            <w:r>
              <w:rPr>
                <w:b w:val="0"/>
                <w:color w:val="667085"/>
                <w:sz w:val="15"/>
              </w:rPr>
              <w:t xml:space="preserve">   ERR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generation and no oil &amp; gas exploration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Owns the gas-fired Elektrėnai complex (reserve capacity) and supplies gas - not restricted by the SEB fossil fuel policy (restricts coal &gt;5% of revenue and new exploration).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red flags (UNGC / OECD breaches) found in public sources and the news scan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states it upholds the UN Global Compact principles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in the automatic news scan (Lithuanian, Latvian, Estonian and English media, last 30 days,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99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Core activities are green generation (2.1 GW installed, 0.6 GW under construction) and power networks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bonds and a new EU Green Bond Standard (EuGB) bond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capex 84.7% in 2025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targets in line with 1.5°C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Net zero by 2050 or sooner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No material yellow flag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related controversies found.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To note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contractor employee was fatally injured in February 2026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rose 54.7% in 2025 due to higher gas generation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Safety is managed under ISO 45001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Investments policy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policy, since green generation and networks make up more than 15% of revenue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, and the Fossil Fuels policy for gas distribution, gas supply and the Elektrėnai reserve plants.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gas revenue share was not found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Requirements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1-3 emissions disclosed (4.49m t CO2e in 2025) and SBTi-validated 1.5°C targets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environmental management at ESO, Ignitis gamyba, Ignitis and the Vilnius and Kaunas CHPs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coal, peat or oil &amp; gas extraction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Expectations 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safety management, no fatal accidents in 2025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Trust line for anonymous reports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Anti-corruption policy and ISO 37001 certification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UN Global Compact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Integrated annual report with climate data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Biodiversity monitoring and mitigation measures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named human rights due diligence process or quantified biodiversity targets are published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company meets SEB policy expectations and has no red flags.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Total GHG emissions 4.49m t CO2e in 2025 (+10.1%)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Carbon intensity (Scope 1+2) 214 g CO2e/kWh in Q1 2026 (−12.8%)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capex 84.7%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SBTi-validated 1.5°C targets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Strong green profile: 84.7% Taxonomy-aligned capex and SBTi-validated targets. Worth watching: higher gas generation in 2025 and contractor safety.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3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4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5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6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7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8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9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0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1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59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2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56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3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hgFBVV95cUxPUFhfcW5XdEJ2c2tTZlBoc1ZUWXBXXzVOQ2dIQnpHOTRNbFYtQlJ3Y08zeVROTG5aWUxuYlNSeWVPbGU3QzB1My1CMkMtOUc3UEpxQTRNV0FUNENaQ0pUenJSZ2dZdHRIcjY4VlVUdV8xZjV2cXJIOHN6Q09zR2d0dFZFVXNCUQ?oc=5" TargetMode="External"/><Relationship Id="rId46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7" Type="http://schemas.openxmlformats.org/officeDocument/2006/relationships/hyperlink" Target="https://news.google.com/rss/articles/CBMixwFBVV95cUxNQkI5a0xtVy02dHppbWZycnUzN2pHU253alhQZ182ejhjWHJ5Z1JkWVBlWW5ncFhtdjMxVDZnTnR3ck1VV1RDWFpTYzNndEN3cGJLRkx3T2RaNUZDZnhhdkRaLXhqU0Z5TWNrQ2k3d3FqVVpYbzF1VnN2QXNYUDdaOEtxWktEeXlRSWx2di16WDdwUHFXN1l4SkwtOWJPM0Z2cjRuTk1BeDA1NER4bTh5OEh3Vy1lWllpbGJtLVBtY3lwTFVzYmFF?oc=5" TargetMode="External"/><Relationship Id="rId48" Type="http://schemas.openxmlformats.org/officeDocument/2006/relationships/hyperlink" Target="https://news.google.com/rss/articles/CBMijgFBVV95cUxOdlpUclQwVTE0N0I4R1FUX0QxampjTTNlWmJweGxWWUNqZC1UNHVWdzZxRl9CT3E2VEhCT1dsbGlvb21oTmdaVE8yTk5qVkFFUksxNk1lNmpjbUN5dUt0YmM0cFMyRU93aXhKbXlMSHZsUFVKZFZLdVc1YkZtRHZCYVRWNVJpYUFpdzhhUGVn?oc=5" TargetMode="External"/><Relationship Id="rId49" Type="http://schemas.openxmlformats.org/officeDocument/2006/relationships/hyperlink" Target="https://news.google.com/rss/articles/CBMirAFBVV95cUxQcmI3VVhrTnZwWUhFU3FaTm93V0llQXJINjZBMXJMdUluSXU3SFZrTEJ1UWVZRWs1WV9UOWZuWDhiQXZKdm9mVkNWSXhWLXhTdkZuN1pzdHJtazZmOUZKcUg2N21VN1NtMjNDYm9uX3ZQeE5xbW8tWElPTXBDZzVjWk1kUElUdUpwMGFhTGdVSEgwSVp2SXVvckxPNmR5MFBCSFFEb2hNVy1JV29L?oc=5" TargetMode="External"/><Relationship Id="rId50" Type="http://schemas.openxmlformats.org/officeDocument/2006/relationships/hyperlink" Target="https://news.google.com/rss/articles/CBMikAFBVV95cUxQd1ZQbVdSSHU5SnpMU1Rka3lmVHVHYWtncTZMOEN2TkRHcnNMb0xsNEFMcHBVUnFNWlJJLTFFb1V3cFZhMjdIblJ2aFF1djhBRlpsbXBkUWJOa0RCd2dpNVptRG5mbm1LZ3RlS0owT3QxZUdxUHZ6WVc5RzZOS2RtNmtMdzdmd1d5d2tDandSdFY?oc=5" TargetMode="External"/><Relationship Id="rId51" Type="http://schemas.openxmlformats.org/officeDocument/2006/relationships/hyperlink" Target="https://news.google.com/rss/articles/CBMivgFBVV95cUxPZTI0ckdmTS1jR2REOHJOZ1JrQlB4MzM2SHp1SFA4S1dWX00zRWZhTFRuQ1VRN0JJWVBaYjFIcm1BOF96eEd4Y2Y5ejE4VTNmV0RXV3A2ZHFLaTd4R3Z0T0FUZlE0Tjdpa2lzM3o2enZVSFJCVjAyZWRhVVoydU54bTZBVEdicFB1NlROa0lCeElRVkRsNlNYTFlfekV3VXV0aFMtcnRoTEZXaVhTYkpHSEt5SUEtNGlwUXVhTG9R?oc=5" TargetMode="External"/><Relationship Id="rId52" Type="http://schemas.openxmlformats.org/officeDocument/2006/relationships/hyperlink" Target="https://news.google.com/rss/articles/CBMiogFBVV95cUxNd0RFbGs1M0RWUjdCVURZUjV4SHFFOEtaR1kyZDEyTWZuQTlaVy1rTTB3R1BUWk8yU3QwZlBvUHhHZFdYdjg3ZVdWb2dlaVl3YkwwTWJ6Y3BFNDRjM29rcmtPR0FWdkNIMHlHbTZfblhLWU05ZGo5ZDRJb1BvbVR4NTNNU0ZsWlY0Vy1Razgwa2lJS1hRSGNrdUp6YlMwbWVwbFE?oc=5" TargetMode="External"/><Relationship Id="rId53" Type="http://schemas.openxmlformats.org/officeDocument/2006/relationships/hyperlink" Target="https://ignitisgrupe.lt/sites/default/files/public/inline-files/Integrated%20Annual%20Report%202025.pdf#page=10" TargetMode="External"/><Relationship Id="rId54" Type="http://schemas.openxmlformats.org/officeDocument/2006/relationships/hyperlink" Target="https://ignitisgrupe.lt/tvarumo-valdymas/politikos-ir-sertifikatai" TargetMode="External"/><Relationship Id="rId55" Type="http://schemas.openxmlformats.org/officeDocument/2006/relationships/hyperlink" Target="https://sebgroup.com/sustainability/our-sustainability-strategy/policies" TargetMode="External"/><Relationship Id="rId56" Type="http://schemas.openxmlformats.org/officeDocument/2006/relationships/hyperlink" Target="https://webapp.sebgroup.com/mb/mblib.nsf/dld/60D2454400789893C12587D70030AFC1?opendocument" TargetMode="External"/><Relationship Id="rId57" Type="http://schemas.openxmlformats.org/officeDocument/2006/relationships/hyperlink" Target="https://ignitisgrupe.lt/sites/default/files/public/inline-files/Integrated%20Annual%20Report%202025.pdf#page=24" TargetMode="External"/><Relationship Id="rId58" Type="http://schemas.openxmlformats.org/officeDocument/2006/relationships/hyperlink" Target="https://webapp.sebgroup.com/mb/mblib.nsf/dld/80AF6A2E5F88CDC2C12586B1002E33C2?opendocument" TargetMode="External"/><Relationship Id="rId59" Type="http://schemas.openxmlformats.org/officeDocument/2006/relationships/hyperlink" Target="https://ignitisgrupe.lt/sites/default/files/public/inline-files/Integrated%20Annual%20Report%202025.pdf#page=8" TargetMode="External"/><Relationship Id="rId60" Type="http://schemas.openxmlformats.org/officeDocument/2006/relationships/hyperlink" Target="https://ignitisgrupe.lt/sites/default/files/public/inline-files/Integrated%20Annual%20Report%202025.pdf#page=16" TargetMode="External"/><Relationship Id="rId61" Type="http://schemas.openxmlformats.org/officeDocument/2006/relationships/hyperlink" Target="https://ignitisgrupe.lt/tvarumo-prioritetai/verslo-etika" TargetMode="External"/><Relationship Id="rId62" Type="http://schemas.openxmlformats.org/officeDocument/2006/relationships/hyperlink" Target="https://ignitisgrupe.lt/tvarumo-prioritetai/gamta" TargetMode="External"/><Relationship Id="rId63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