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FY2026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LATRAPS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Agricultural cooperative (grain and rapeseed trading, storage, malt; pea protein plant under construction)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sz w:val="18"/>
              </w:rPr>
              <w:t>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LATRAPS 7.5% bond 2028 (First North)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LV0000805349  ·  7.5% · 2028-12-12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LATRAPS is a cooperative of 1,214 Latvian farmers; FY2025/26 profit EUR 2.8m, and both bond covenants are met: adjusted equity ratio 29.4% (floor 20%), EBITDA / interest 2.7x (floor 2.0x)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To watch: debt is rising with the EUR 132m pea protein plant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240.2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5.5 %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2.77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29.4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 / interest</w:t>
            </w:r>
            <w:r>
              <w:rPr>
                <w:b w:val="0"/>
                <w:color w:val="667085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2.7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Periods:</w:t>
      </w:r>
      <w:r>
        <w:rPr>
          <w:b w:val="0"/>
        </w:rPr>
        <w:t xml:space="preserve"> the financial year runs 1 July - 30 June; FY2026 = Jul 2025 - Jun 2026, 6M2026 = Jul-Dec 2025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lower, profit stable:</w:t>
      </w:r>
      <w:r>
        <w:rPr>
          <w:b w:val="0"/>
        </w:rPr>
        <w:t xml:space="preserve"> revenue EUR 240.2m (254.3m), profit EUR 2.77m (2.74m), 1.1% of turnover; grain prices stayed low and part of the harvest missed food-grade standards due to wet weather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adjusted equity ratio 29.4% (32.8%), floor 20%; adjusted EBITDA / interest 2.7x (2.7x), floor 2.0x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net debt about EUR 62.4m (45.1m a year earlier; own calculation), total assets EUR 142.0m (121.4m)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interest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cooperative buys, stores and exports its members' grain and rapeseed (to nearly 30 countries); storage capacity nearly 220,000 t; owns LATMALT (malt, 100%)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pea protein plant is being built in Jelgava (ASNS Ingredient, 51.42%): up to 70,000 t of peas a year, EUR 132m investment, completion planned in 1H 2027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EUR 4.2m of investment in the Jaunpagasts, Aizkraukle and Jēkabpils sites (EU co-financed) was completed in September 2026; the Alpha Osta stake was sold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Gross profit EUR 16.9m (17.6m), interest expense EUR 2.86m (2.71m)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Equity EUR 36.7m (34.4m)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is not reported separately; only the covenant ratio EBITDA / interest is given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Pea protein plant in Jelgava (EUR 132m) - completion in 1H 2027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Under construction; schedule unchanged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schedule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Storage investments (EUR 4.2m, EU co-financed)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Completed in September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the Alpha Osta stake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completed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Done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7.5% bond, EUR 8m, issued December 2024, maturing 2028-12-12, quarterly coupon; Nasdaq Riga First North since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adjusted equity ratio ≥20% (29.4%), adjusted EBITDA ≥2x interest (2.7x) – met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Headroom shrank over the year (equity ratio 32.8% → 29.4%).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Ranking and security:</w:t>
      </w:r>
      <w:r>
        <w:rPr>
          <w:b w:val="0"/>
        </w:rPr>
        <w:t xml:space="preserve"> the bond is a small part of debt (8 of ~EUR 63.5m); ranking and security were not found in the reports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thin profit margin and rising debt, but covenants are met and profit is stable.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 grain prices:</w:t>
      </w:r>
      <w:r>
        <w:rPr>
          <w:b w:val="0"/>
        </w:rPr>
        <w:t xml:space="preserve"> grain prices stayed low while production costs remained high – selling prices well below the previous five years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 EU growers have higher costs than competing export regions</w:t>
      </w:r>
      <w:hyperlink r:id="rId17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Weather:</w:t>
      </w:r>
      <w:r>
        <w:rPr>
          <w:b w:val="0"/>
        </w:rPr>
        <w:t xml:space="preserve"> an overly wet summer and autumn hampered harvesting; an unusually large share of grain missed food-grade standards and was sold as feed, though overall yields beat forecasts</w:t>
      </w:r>
      <w:hyperlink r:id="rId17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Result:</w:t>
      </w:r>
      <w:r>
        <w:rPr>
          <w:b w:val="0"/>
        </w:rPr>
        <w:t xml:space="preserve"> turnover EUR 240m, profit EUR 2.7m (1.1% of turnover); rising business and labour costs in Latvia weigh on profitability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2026-07-25 – 2026-10-23: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Grain and rapeseed trading and processing in the EU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None of the activities restricted by the SEB Agriculture policy (deforestation, uncertified palm oil or soy) found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fines, violations or complaints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corruption convictions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pea protein plant produces plant protein from local crops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Targets: +50% renewable energy over five years, 10 electric vehicles a year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red flags.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states it has not yet carried out a formal climate risk assessment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Agriculture policy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first sustainability report under ESRS / VSME, a whistleblowing channel, a zero workplace accident target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risk assessment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sustainability reporting has started and no serious gaps were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CO2 emissions and headcount are reported (three years of data)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The first sustainability report is published; a climate risk assessment has not been done yet.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LATRAPS - 12-month report FY2025/26 (unaudited, local GAAP),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7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9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0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1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38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LATRAPS · FY2026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LATRAPS</w:t>
    </w:r>
    <w:r>
      <w:rPr>
        <w:b w:val="0"/>
        <w:color w:val="667085"/>
        <w:sz w:val="16"/>
      </w:rPr>
      <w:tab/>
      <w:t>Issuer review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asdaqbaltic.com/market/upload/reports/latra/2026_q4_en_las.pdf#page=6" TargetMode="External"/><Relationship Id="rId36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7" Type="http://schemas.openxmlformats.org/officeDocument/2006/relationships/hyperlink" Target="https://nasdaqbaltic.com/market/upload/reports/latra/2026_q4_en_las.pdf#page=5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nasdaqbaltic.com/market/upload/reports/latra/2026_esg_en.pdf#page=23" TargetMode="External"/><Relationship Id="rId40" Type="http://schemas.openxmlformats.org/officeDocument/2006/relationships/hyperlink" Target="https://nasdaqbaltic.com/market/upload/reports/latra/2026_esg_en.pdf#page=19" TargetMode="External"/><Relationship Id="rId41" Type="http://schemas.openxmlformats.org/officeDocument/2006/relationships/hyperlink" Target="https://nasdaqbaltic.com/market/upload/reports/latra/2026_esg_en.pdf#page=18" TargetMode="External"/><Relationship Id="rId42" Type="http://schemas.openxmlformats.org/officeDocument/2006/relationships/hyperlink" Target="https://nasdaqbaltic.com/market/upload/reports/latra/2026_esg_en.pdf#page=3" TargetMode="External"/><Relationship Id="rId43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