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7,5 %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LATRAPS – 1 214 Latvijos ūkininkų kooperatyvas; 2025/26 m. pelnas 2,8 mln. EUR, abiejų obligacijų sąlygų laikomasi: koreguota kapitalo dalis 29,4 % (riba 20 %), EBITDA / palūkanos 2,7 karto (riba 2,0)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Stebėtina: skola auga dėl 132 mln. EUR žirnių baltymų gamyklos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Laikotarpiai:</w:t>
      </w:r>
      <w:r>
        <w:rPr>
          <w:b w:val="0"/>
        </w:rPr>
        <w:t xml:space="preserve"> finansiniai metai – liepos 1 d.–birželio 30 d.; FY2026 = 2025-07–2026-06, 6M2026 = 2025-07–2025-12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mažesni, pelnas stabilus:</w:t>
      </w:r>
      <w:r>
        <w:rPr>
          <w:b w:val="0"/>
        </w:rPr>
        <w:t xml:space="preserve"> pajamos 240,2 mln. EUR (254,3 mln.), pelnas 2,77 mln. EUR (2,74 mln.), tai 1,1 % apyvartos; grūdų kainos išliko žemos, dalis derliaus neatitiko maistinių reikalavimų dėl drėgno oro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Sąlygų laikomasi:</w:t>
      </w:r>
      <w:r>
        <w:rPr>
          <w:b w:val="0"/>
        </w:rPr>
        <w:t xml:space="preserve"> koreguota kapitalo dalis 29,4 % (32,8 %), riba ≥20 %; koreguota EBITDA / palūkanos 2,7 karto (2,7), riba ≥2,0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grynoji skola apie 62,4 mln. EUR (prieš metus 45,1 mln.; mūsų skaičiavimas), turtas 142,0 mln. EUR (121,4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Kooperatyvas superka, sandėliuoja ir eksportuoja narių grūdus ir rapsus (beveik 30 šalių); sandėlių talpa beveik 220 000 t; valdo LATMALT (salyklas, 100 %)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Jelgavoje statoma žirnių baltymų gamykla (ASNS Ingredient, 51,42 %): iki 70 000 t žirnių per metus, investicija 132 mln. EUR, pabaiga planuojama 2027 m. I pusm.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baigtos 4,2 mln. EUR investicijos į Jaunpagasto, Aizkrauklės ir Jēkabpilio sandėlius (ES lėšos); parduota Alpha Osta dalis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Bendrasis pelnas 16,9 mln. EUR (17,6 mln.), palūkanų sąnaudos 2,86 mln. EUR (2,71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Nuosavas kapitalas 36,7 mln. EUR (34,4 mln.)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atskirai neskelbiama; skelbiamas tik kovenanto rodiklis EBITDA / palūkanos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Žirnių baltymų gamykla Jelgavoje (132 mln. EUR) – pabaiga 2027 m. I pusm.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Statoma; terminas nepakeistas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Sandėlių investicijos (4,2 mln. EUR, ES lėšos)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Baigta 2026-09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Alpha Osta dalį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7,5 % obligacija, 8 mln. EUR, išleista 2024-12, išpirkimas 2028-12-12, kuponas kas ketvirtį; Nasdaq Riga First North nuo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koreguota kapitalo dalis ≥20 % (yra 29,4 %), koreguota EBITDA ≥2 kartų palūkanų (yra 2,7) – laikomasi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Rezervas iki ribų sumažėjo per metus (kapitalo dalis 32,8 % → 29,4 %).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 ir užtikrinimas:</w:t>
      </w:r>
      <w:r>
        <w:rPr>
          <w:b w:val="0"/>
        </w:rPr>
        <w:t xml:space="preserve"> obligacija sudaro mažą skolos dalį (8 iš ~63,5 mln. EUR); rangas ir užtikrinimas ataskaitose nerasti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maža pelno marža ir auganti skola, bet sąlygų laikomasi ir pelnas stabilus.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Žemos grūdų kainos:</w:t>
      </w:r>
      <w:r>
        <w:rPr>
          <w:b w:val="0"/>
        </w:rPr>
        <w:t xml:space="preserve"> grūdų kainos išliko žemos, o gamybos kaštai aukšti – pardavimo kainos gerokai žemesnės nei per ankstesnius penkerius metus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ES augintojų kaštai didesni nei konkuruojančių eksporto regionų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Oras:</w:t>
      </w:r>
      <w:r>
        <w:rPr>
          <w:b w:val="0"/>
        </w:rPr>
        <w:t xml:space="preserve"> per drėgna vasara ir ruduo apsunkino derliaus nuėmimą; neįprastai didelė dalis grūdų neatitiko maistinių reikalavimų ir parduota pašarams, tačiau bendras derlius buvo geresnis nei prognozuota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Rezultatas:</w:t>
      </w:r>
      <w:r>
        <w:rPr>
          <w:b w:val="0"/>
        </w:rPr>
        <w:t xml:space="preserve"> apyvarta 240 mln. EUR, pelnas 2,7 mln. EUR (1,1 % apyvartos); pelningumą slegia augantys verslo ir darbo kaštai Latvijoje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2026-07-25 – 2026-10-23: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Grūdų ir rapsų prekyba bei perdirbimas 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žemės ūkio politikos apribotos veiklos (miškų kirtimas, nesertifikuotas palmių aliejus ar soja) nenustatytos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Baudų, pažeidimų ar skundų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nuosprendžių nėra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Žirnių baltymų gamykla – augalinių baltymų gamyba iš vietinių žaliavų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atsinaujinančios energijos +50 % per penkerius metus, 10 elektromobilių per metus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nurodo, kad oficialaus klimato rizikos vertinimo dar neatliko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Pirmoji tvarumo ataskaita pagal ESRS / VSME, pranešimų apie pažeidimus kanalas, nulinės nelaimingų atsitikimų darbe tikslas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rizikos vertinimas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tvarumo ataskaita pradėta skelbti, rimtų trūkumų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1 apimties CO2 emisijos ir darbuotojų skaičius (trejų metų duomenys)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Pirmoji tvarumo ataskaita paskelbta; klimato rizikos vertinimas dar neatliktas.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Emitento apžvalga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nasdaqbaltic.com/market/upload/reports/latra/2026_esg_en.pdf#page=19" TargetMode="External"/><Relationship Id="rId41" Type="http://schemas.openxmlformats.org/officeDocument/2006/relationships/hyperlink" Target="https://nasdaqbaltic.com/market/upload/reports/latra/2026_esg_en.pdf#page=18" TargetMode="External"/><Relationship Id="rId42" Type="http://schemas.openxmlformats.org/officeDocument/2006/relationships/hyperlink" Target="https://nasdaqbaltic.com/market/upload/reports/latra/2026_esg_en.pdf#page=3" TargetMode="External"/><Relationship Id="rId43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