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Latvenergo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Latvia · Energy utility (hydro and gas CHP generation, distribution and transmission assets, retail supply)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Baa2, stable outlook (affirmed October 2025)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- 2026-11-30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4.952% 6Y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LV0000802684  ·  4.952% · 2029-02-22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2.42%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LV0000870129  ·  2.42% · 2027-05-05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0.5% 7Y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LV0000802460  ·  0.5% · 2028-05-17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Latvenergo 3.612%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XS3227294132  ·  3.612% · 2030-11-13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1H profit EUR 144.6m (+7%), rating Baa2 stable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Debt is rising because of large renewable investments: net debt / EBITDA 2.4x (1.5x a year ago), but FFO / net debt of 35% is still above the strategy target of &gt;25%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284.6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4.7 %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144.6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6.9 %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debt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2.4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0.9x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FFO / net debt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35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22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up:</w:t>
      </w:r>
      <w:r>
        <w:rPr>
          <w:b w:val="0"/>
        </w:rPr>
        <w:t xml:space="preserve"> 1H revenue EUR 941.8m (+11%), EBITDA EUR 284.6m (+5%), net profit EUR 144.6m (135.3m)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More generation:</w:t>
      </w:r>
      <w:r>
        <w:rPr>
          <w:b w:val="0"/>
        </w:rPr>
        <w:t xml:space="preserve"> 3,336 GWh of electricity produced versus 2,603 GWh a year ago. In 2025, 66% of electricity came from renewable sources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Debt rising with investment:</w:t>
      </w:r>
      <w:r>
        <w:rPr>
          <w:b w:val="0"/>
        </w:rPr>
        <w:t xml:space="preserve"> net debt EUR 1,372.1m (843.1m), net debt / EBITDA 2.4x (1.5x). Investments EUR 255.5m in the half year and a record EUR 792.1m in 2025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8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Cheap funding:</w:t>
      </w:r>
      <w:r>
        <w:rPr>
          <w:b w:val="0"/>
        </w:rPr>
        <w:t xml:space="preserve"> in June 2026 EUR 300m of 7-year green bonds were issued at a 1.3% yield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LV0000802684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4.952% 6Y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4.952%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2029-02-22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Baa2; issue date = listing date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LV0000870129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2.42%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2.42%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2027-05-05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Baa2; issue date = listing date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LV0000802460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0.5% 7Y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2028-05-17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Baa2; issue date = listing date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XS3227294132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Latvenergo 3.612% 5Y green bond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Green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3.612%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2030-11-13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bond; Moody's Baa2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1,566.1*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847.1*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941.8*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11.2 %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EUR m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271.7*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284.6*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4.7 %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198.8*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135.3*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144.6*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6.9 %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Investments,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792.1*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391.8*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255.5*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34.8 %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843.1*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1,372.1*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62.7 %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 / EBITDA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1.5x*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2.4x*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0.9x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FFO / net debt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57%*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35%*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22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5.2%*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6.9%*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1.7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2,969.5*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3,035.9*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2.2 %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4,967.5*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4,471.3*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5,259.6*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17.6 %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66.4%ᶜ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57.7%ᶜ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8.7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Electricity generation, GWh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4,696*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3,336*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28.2 %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venergo_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Renewables build-out:</w:t>
      </w:r>
      <w:r>
        <w:rPr>
          <w:b w:val="0"/>
        </w:rPr>
        <w:t xml:space="preserve"> 937 MW of wind and solar installed at end-June, with an approved 1,144 MW project portfolio; strategy target 600 MW by 2026 and 2,300 MW by 2030</w:t>
      </w:r>
      <w:hyperlink r:id="rId23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2025 generation mix:</w:t>
      </w:r>
      <w:r>
        <w:rPr>
          <w:b w:val="0"/>
        </w:rPr>
        <w:t xml:space="preserve"> hydro 2,882 GWh (61%), gas-fired Riga CHPs 1,587 GWh (34%), wind and solar 209 GWh (shares are own calculation)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 severe storm on 2026-08-22 caused widespread power outages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 revenue EUR 1,566.1m (2024:</w:t>
      </w:r>
      <w:r>
        <w:rPr>
          <w:b w:val="0"/>
        </w:rPr>
        <w:t xml:space="preserve"> 1,703.6m), profit EUR 198.8m (273.7m, −74.8m); FFO / net debt 39%</w:t>
      </w:r>
      <w:hyperlink r:id="rId18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Equity EUR 3,035.9m, total assets EUR 5,259.6m, an equity ratio of 57.7% (own calculation); ROE 6.9% (5.2%)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Dividends to the state:</w:t>
      </w:r>
      <w:r>
        <w:rPr>
          <w:b w:val="0"/>
        </w:rPr>
        <w:t xml:space="preserve"> EUR 141.0m from 2025 profit approved on 2026-05-27, paid in two EUR 70.5m instalments (June and by 30 November)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Strategy 2022-2026: ROE &gt;7%, adjusted FFO / net debt &gt;25%, Moody's rating ≥ Baa3, dividend payout &gt;64%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2026: ROE 6.9%, FFO / net debt 35%, rating Baa2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Partly: the rating and FFO targets are met; ROE (6.9%) is close to the 7% target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</w:pPr>
            <w:r>
              <w:rPr>
                <w:b/>
                <w:sz w:val="17"/>
              </w:rPr>
              <w:t>Partly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Build or acquire 600 MW of wind and solar by 2026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937 MW installed at 2026-06-30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Exceeded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2,300 MW of renewables by 2030; at least 250 MW / 500 MWh of storage by 2030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Approved project portfolio of 1,144 MW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Long-term target, financed with green bonds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Climate-neutral electricity generation by 2040; cut Scope 1 emissions 47% by 2030 (vs 2021)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2025: −17%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progress; progress depends on how much the gas plants run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Instruments held:</w:t>
      </w:r>
      <w:r>
        <w:rPr>
          <w:b w:val="0"/>
        </w:rPr>
        <w:t xml:space="preserve"> four green bonds, 2.42% 2027 (EUR 100m), 0.5% 2028 (EUR 50m), 4.952% 2029 (EUR 50m) and 3.612% 2030 (EUR 400m)</w:t>
      </w:r>
      <w:hyperlink r:id="rId27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color w:val="2A78D6"/>
          <w:vertAlign w:val="superscript"/>
        </w:rPr>
        <w:t>,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29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color w:val="2A78D6"/>
          <w:vertAlign w:val="superscript"/>
        </w:rPr>
        <w:t>,</w:t>
      </w:r>
      <w:hyperlink r:id="rId30">
        <w:r>
          <w:rPr>
            <w:color w:val="2A78D6"/>
            <w:vertAlign w:val="superscript"/>
            <w:sz w:val="17"/>
          </w:rPr>
          <w:t xml:space="preserve">23</w:t>
        </w:r>
      </w:hyperlink>
      <w:r>
        <w:rPr>
          <w:b w:val="0"/>
        </w:rPr>
        <w:t>. Moody's rates the green bonds Baa2</w:t>
      </w:r>
      <w:hyperlink r:id="rId31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Next maturity:</w:t>
      </w:r>
      <w:r>
        <w:rPr>
          <w:b w:val="0"/>
        </w:rPr>
        <w:t xml:space="preserve"> the 2.42% bond on 2027-05-05. The company has funding: it borrowed EUR 300m at 1.3% in June 2026</w:t>
      </w:r>
      <w:hyperlink r:id="rId28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State ownership (100%)</w:t>
      </w:r>
      <w:r>
        <w:rPr>
          <w:b w:val="0"/>
        </w:rPr>
        <w:t xml:space="preserve"> and the dividend policy (&gt;64% payout) mean part of the cash goes to the state, but the rating target (≥ Baa3) caps borrowing</w:t>
      </w:r>
      <w:hyperlink r:id="rId16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the business is profitable, borrowing is growing as planned and credit metrics are above the strategy limits.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Cold weather lifted sales:</w:t>
      </w:r>
      <w:r>
        <w:rPr>
          <w:b w:val="0"/>
        </w:rPr>
        <w:t xml:space="preserve"> revenue +11% to EUR 941.8m on higher gas, power and heat sales in a cold start to the year; EBITDA +5% to EUR 284.6m on new solar and wind output and higher CHP output</w:t>
      </w:r>
      <w:hyperlink r:id="rId23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Power prices:</w:t>
      </w:r>
      <w:r>
        <w:rPr>
          <w:b w:val="0"/>
        </w:rPr>
        <w:t xml:space="preserve"> the Latvian average price was EUR 102.6/MWh (87.3 a year earlier); the Nord Pool system price more than doubled on cold weather, higher demand and low Nordic hydro (22 TWh below the long-term average)</w:t>
      </w:r>
      <w:hyperlink r:id="rId32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Daugava and gas:</w:t>
      </w:r>
      <w:r>
        <w:rPr>
          <w:b w:val="0"/>
        </w:rPr>
        <w:t xml:space="preserve"> Daugava HPP output fell 4% to 1.6 TWh as river inflow was 24% below the long-term average</w:t>
      </w:r>
      <w:hyperlink r:id="rId33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b w:val="0"/>
        </w:rPr>
        <w:t>; TTF gas averaged EUR 40/MWh (-7%), EU storage was 38% full (46% a year earlier)</w:t>
      </w:r>
      <w:hyperlink r:id="rId24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Outlook:</w:t>
      </w:r>
      <w:r>
        <w:rPr>
          <w:b w:val="0"/>
        </w:rPr>
        <w:t xml:space="preserve"> new wind and solar parks will be commissioned in 2026-2027, adding about 2.2 TWh of annual generation</w:t>
      </w:r>
      <w:hyperlink r:id="rId34">
        <w:r>
          <w:rPr>
            <w:color w:val="2A78D6"/>
            <w:vertAlign w:val="superscript"/>
            <w:sz w:val="17"/>
          </w:rPr>
          <w:t xml:space="preserve">28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3.38%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0.66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Management:</w:t>
      </w:r>
      <w:r>
        <w:rPr>
          <w:b w:val="0"/>
        </w:rPr>
        <w:t xml:space="preserve"> on 2026-10-05 board member Māris Kuņickis left the company</w:t>
      </w:r>
      <w:hyperlink r:id="rId35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Tet and LMT:</w:t>
      </w:r>
      <w:r>
        <w:rPr>
          <w:b w:val="0"/>
        </w:rPr>
        <w:t xml:space="preserve"> on 2026-10-22 it was reported that Latvenergo is ready to continue cooperating in the buy-out process of Tet and LMT stakes</w:t>
      </w:r>
      <w:hyperlink r:id="rId36">
        <w:r>
          <w:rPr>
            <w:color w:val="2A78D6"/>
            <w:vertAlign w:val="superscript"/>
            <w:sz w:val="17"/>
          </w:rPr>
          <w:t xml:space="preserve">30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Gas prices:</w:t>
      </w:r>
      <w:r>
        <w:rPr>
          <w:b w:val="0"/>
        </w:rPr>
        <w:t xml:space="preserve"> on 2026-10-14 the company's analyst warned that natural gas has not been this expensive for years</w:t>
      </w:r>
      <w:hyperlink r:id="rId37">
        <w:r>
          <w:rPr>
            <w:color w:val="2A78D6"/>
            <w:vertAlign w:val="superscript"/>
            <w:sz w:val="17"/>
          </w:rPr>
          <w:t xml:space="preserve">31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LV), 2026-07-25 – 2026-10-23: 7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2026-10-05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B2430"/>
                  <w:sz w:val="18"/>
                </w:rPr>
                <w:t xml:space="preserve">"Latvenergo" valdes loceklis Māris Kuņickis atstāj darbu uzņēmumā</w:t>
              </w:r>
            </w:hyperlink>
            <w:r>
              <w:rPr>
                <w:b w:val="0"/>
                <w:color w:val="667085"/>
                <w:sz w:val="15"/>
              </w:rPr>
              <w:t xml:space="preserve">   Jauns.lv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"Latvenergo" gatava turpināt sadarbību "Tet" un LMT daļu izpirkšanas procesā</w:t>
              </w:r>
            </w:hyperlink>
            <w:r>
              <w:rPr>
                <w:b w:val="0"/>
                <w:color w:val="667085"/>
                <w:sz w:val="15"/>
              </w:rPr>
              <w:t xml:space="preserve">   TVNET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8">
              <w:r>
                <w:rPr>
                  <w:color w:val="1B2430"/>
                  <w:sz w:val="18"/>
                </w:rPr>
                <w:t xml:space="preserve">Vai ziemā pietiks gāzes un kas notiks ar cenām? «Latvenergo» skaidro situāciju pirms apkures sezonas</w:t>
              </w:r>
            </w:hyperlink>
            <w:r>
              <w:rPr>
                <w:b w:val="0"/>
                <w:color w:val="667085"/>
                <w:sz w:val="15"/>
              </w:rPr>
              <w:t xml:space="preserve">   bb.lv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9">
              <w:r>
                <w:rPr>
                  <w:color w:val="1B2430"/>
                  <w:sz w:val="18"/>
                </w:rPr>
                <w:t xml:space="preserve">Latvenergo : Dabasgāzes cenas sasniedz augstāko līmeni gandrīz četru gadu laikā</w:t>
              </w:r>
            </w:hyperlink>
            <w:r>
              <w:rPr>
                <w:b w:val="0"/>
                <w:color w:val="667085"/>
                <w:sz w:val="15"/>
              </w:rPr>
              <w:t xml:space="preserve">   Diena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0">
              <w:r>
                <w:rPr>
                  <w:color w:val="1B2430"/>
                  <w:sz w:val="18"/>
                </w:rPr>
                <w:t xml:space="preserve">Tik dārga gāze nav bijusi gadiem: "Latvenergo" analītiķe brīdina par saspringtu situāciju pirms apkures sezonas</w:t>
              </w:r>
            </w:hyperlink>
            <w:r>
              <w:rPr>
                <w:b w:val="0"/>
                <w:color w:val="667085"/>
                <w:sz w:val="15"/>
              </w:rPr>
              <w:t xml:space="preserve">   Dzentlmenis.lv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7">
              <w:r>
                <w:rPr>
                  <w:color w:val="1B2430"/>
                  <w:sz w:val="18"/>
                </w:rPr>
                <w:t xml:space="preserve">"Latvenergo": tik dārga dabasgāze nav bijusi gadiem ilgi</w:t>
              </w:r>
            </w:hyperlink>
            <w:r>
              <w:rPr>
                <w:b w:val="0"/>
                <w:color w:val="667085"/>
                <w:sz w:val="15"/>
              </w:rPr>
              <w:t xml:space="preserve">   NRA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41">
              <w:r>
                <w:rPr>
                  <w:color w:val="1B2430"/>
                  <w:sz w:val="18"/>
                </w:rPr>
                <w:t xml:space="preserve">"Latvenergo" elektroauto uzlādes tīkla attīstībā sper nākamo soli</w:t>
              </w:r>
            </w:hyperlink>
            <w:r>
              <w:rPr>
                <w:b w:val="0"/>
                <w:color w:val="667085"/>
                <w:sz w:val="15"/>
              </w:rPr>
              <w:t xml:space="preserve">   DELFI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weapons, tobacco or gambling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coal or oil &amp; gas extraction.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two Riga CHPs run on natural gas (34% of output in 2025)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SEB fossil fuel policy restricts coal and oil &amp; gas extraction, not gas-fired generation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Significant corruption or ethics breaches in 2024-2025: 0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 a 2020 procurement case the anti-corruption bureau KNAB closed the criminal proceedings with no wrongdoing established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2026-10-23).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(search in Latvian and English,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2026-07-25 – 2026-10-23: 7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66% of electricity from renewable sources</w:t>
            </w:r>
            <w:hyperlink r:id="rId17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S&amp;P Global CSA score 54, in the top 30% of electric utilities worldwide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Moody's ESG credit impact score CIS-2</w:t>
            </w:r>
            <w:hyperlink r:id="rId18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All bonds are green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 of climate neutrality by 2050 and climate-neutral generation by 2040</w:t>
            </w:r>
            <w:hyperlink r:id="rId46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taxonomy-aligned investments 97% (target ≥80%)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Serious accidents and major pollution cases in 2024-2025: 0</w:t>
            </w:r>
            <w:hyperlink r:id="rId47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39</w:t>
              </w:r>
            </w:hyperlink>
            <w:r>
              <w:rPr>
                <w:b w:val="0"/>
                <w:color w:val="333333"/>
                <w:sz w:val="18"/>
              </w:rPr>
              <w:t>, the Electricity &amp; Renewable Energy policy</w:t>
            </w:r>
            <w:hyperlink r:id="rId48">
              <w:r>
                <w:rPr>
                  <w:color w:val="2A78D6"/>
                  <w:vertAlign w:val="superscript"/>
                  <w:sz w:val="15"/>
                </w:rPr>
                <w:t xml:space="preserve">40</w:t>
              </w:r>
            </w:hyperlink>
            <w:r>
              <w:rPr>
                <w:b w:val="0"/>
                <w:color w:val="333333"/>
                <w:sz w:val="18"/>
              </w:rPr>
              <w:t xml:space="preserve"> and the Fossil Fuels policy for the gas plants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41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Emission reduction targets for 2030 and 2040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2024 emissions across all scopes independently verified</w:t>
            </w:r>
            <w:hyperlink r:id="rId49">
              <w:r>
                <w:rPr>
                  <w:color w:val="2A78D6"/>
                  <w:vertAlign w:val="superscript"/>
                  <w:sz w:val="15"/>
                </w:rPr>
                <w:t xml:space="preserve">42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ISO 50001 energy management</w:t>
            </w:r>
            <w:hyperlink r:id="rId50">
              <w:r>
                <w:rPr>
                  <w:color w:val="2A78D6"/>
                  <w:vertAlign w:val="superscript"/>
                  <w:sz w:val="15"/>
                </w:rPr>
                <w:t xml:space="preserve">43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Zero corruption cases and a fraud risk management plan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44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coal.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Absolute Scope 1-3 totals not found in the report text.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a clear renewable transition strategy and sound ESG practice.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Generation emission intensity 0.100 t CO2/MWh in 2025 (target 0.06 by 2030)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Scope 1 emissions −17% vs 2021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Taxonomy-aligned investments 97%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Renewable share 66%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Mostly hydro, with fast-growing wind and solar and clear climate targets; the gas plants remain as backup capacity.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Fossil Fuels sector policy (coal, oil &amp; gas, peat);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Latvenergo Group - Annual report 2025, p. 24,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Latvenergo Group - Interim report 6M 2026 (unaudited), p. 12,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Latvenergo Group - Interim report 6M 2026 (unaudited),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6">
        <w:r>
          <w:rPr>
            <w:color w:val="2A78D6"/>
            <w:sz w:val="17"/>
          </w:rPr>
          <w:t xml:space="preserve">Latvenergo Group - Interim report 6M 2026 (unaudited), p. 7, 12,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3">
        <w:r>
          <w:rPr>
            <w:color w:val="2A78D6"/>
            <w:sz w:val="17"/>
          </w:rPr>
          <w:t xml:space="preserve">Latvenergo Group - Interim report 6M 2026 (unaudited), p. 12, 15,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Latvenergo Group - Annual report 2025, p. 9,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8">
        <w:r>
          <w:rPr>
            <w:color w:val="2A78D6"/>
            <w:sz w:val="17"/>
          </w:rPr>
          <w:t xml:space="preserve">Latvenergo Group - Annual report 2025, p. 8,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9">
        <w:r>
          <w:rPr>
            <w:color w:val="2A78D6"/>
            <w:sz w:val="17"/>
          </w:rPr>
          <w:t xml:space="preserve">Latvenergo Group - Interim report 6M 2026 (unaudited), p. 5,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20">
        <w:r>
          <w:rPr>
            <w:color w:val="2A78D6"/>
            <w:sz w:val="17"/>
          </w:rPr>
          <w:t xml:space="preserve">Latvenergo Group - Interim report 6M 2026 (unaudited), p. 15,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1">
        <w:r>
          <w:rPr>
            <w:color w:val="2A78D6"/>
            <w:sz w:val="17"/>
          </w:rPr>
          <w:t xml:space="preserve">Latvenergo Group - Annual report 2025, p. 12,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3">
        <w:r>
          <w:rPr>
            <w:color w:val="2A78D6"/>
            <w:sz w:val="17"/>
          </w:rPr>
          <w:t xml:space="preserve">Latvenergo Group - Interim report 6M 2026 (unaudited), p. 3, 8-9,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Latvenergo Group - Annual report 2025, p. 12-13,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8">
        <w:r>
          <w:rPr>
            <w:color w:val="2A78D6"/>
            <w:sz w:val="17"/>
          </w:rPr>
          <w:t xml:space="preserve">Latvenergo Group - Annual report 2025, p. 8, 24,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4">
        <w:r>
          <w:rPr>
            <w:color w:val="2A78D6"/>
            <w:sz w:val="17"/>
          </w:rPr>
          <w:t xml:space="preserve">Latvenergo Group - Interim report 6M 2026 (unaudited), p. 14,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16">
        <w:r>
          <w:rPr>
            <w:color w:val="2A78D6"/>
            <w:sz w:val="17"/>
          </w:rPr>
          <w:t xml:space="preserve">Latvenergo Group - Interim report 6M 2026 (unaudited), p. 7-8, 12,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3">
        <w:r>
          <w:rPr>
            <w:color w:val="2A78D6"/>
            <w:sz w:val="17"/>
          </w:rPr>
          <w:t xml:space="preserve">Latvenergo Group - Interim report 6M 2026 (unaudited), p. 3, 8,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3">
        <w:r>
          <w:rPr>
            <w:color w:val="2A78D6"/>
            <w:sz w:val="17"/>
          </w:rPr>
          <w:t xml:space="preserve">Latvenergo Group - Interim report 6M 2026 (unaudited), p. 3,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5">
        <w:r>
          <w:rPr>
            <w:color w:val="2A78D6"/>
            <w:sz w:val="17"/>
          </w:rPr>
          <w:t xml:space="preserve">Latvenergo Group - Interim report 6M 2026 (unaudited), p. 8-9,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6">
        <w:r>
          <w:rPr>
            <w:color w:val="2A78D6"/>
            <w:sz w:val="17"/>
          </w:rPr>
          <w:t xml:space="preserve">Latvenergo Group - Annual report 2025, p. 27,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7">
        <w:r>
          <w:rPr>
            <w:color w:val="2A78D6"/>
            <w:sz w:val="17"/>
          </w:rPr>
          <w:t xml:space="preserve">Nasdaq Baltic - Latvenergo 4.952% green bond LV0000802684,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8">
        <w:r>
          <w:rPr>
            <w:color w:val="2A78D6"/>
            <w:sz w:val="17"/>
          </w:rPr>
          <w:t xml:space="preserve">Nasdaq Baltic - Latvenergo 2.42% green bond LV0000870129,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29">
        <w:r>
          <w:rPr>
            <w:color w:val="2A78D6"/>
            <w:sz w:val="17"/>
          </w:rPr>
          <w:t xml:space="preserve">Nasdaq Baltic - Latvenergo 0.5% green bond LV0000802460,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0">
        <w:r>
          <w:rPr>
            <w:color w:val="2A78D6"/>
            <w:sz w:val="17"/>
          </w:rPr>
          <w:t xml:space="preserve">Nasdaq Baltic - Latvenergo 3.612% green bond XS3227294132,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1">
        <w:r>
          <w:rPr>
            <w:color w:val="2A78D6"/>
            <w:sz w:val="17"/>
          </w:rPr>
          <w:t xml:space="preserve">Latvenergo Group - Annual report 2025,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16">
        <w:r>
          <w:rPr>
            <w:color w:val="2A78D6"/>
            <w:sz w:val="17"/>
          </w:rPr>
          <w:t xml:space="preserve">Latvenergo Group - Interim report 6M 2026 (unaudited), p. 7-8,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2">
        <w:r>
          <w:rPr>
            <w:color w:val="2A78D6"/>
            <w:sz w:val="17"/>
          </w:rPr>
          <w:t xml:space="preserve">Latvenergo Group - Interim report 6M 2026 (unaudited), p. 13,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3">
        <w:r>
          <w:rPr>
            <w:color w:val="2A78D6"/>
            <w:sz w:val="17"/>
          </w:rPr>
          <w:t xml:space="preserve">Latvenergo Group - Interim report 6M 2026 (unaudited), p. 18,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4">
        <w:r>
          <w:rPr>
            <w:color w:val="2A78D6"/>
            <w:sz w:val="17"/>
          </w:rPr>
          <w:t xml:space="preserve">Latvenergo Group - Interim report 6M 2026 (unaudited), p. 17, 2026-08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5">
        <w:r>
          <w:rPr>
            <w:color w:val="2A78D6"/>
            <w:sz w:val="17"/>
          </w:rPr>
          <w:t xml:space="preserve">Jauns.lv – "Latvenergo" valdes loceklis Māris Kuņickis atstāj darbu uzņēmumā, 2026-10-05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36">
        <w:r>
          <w:rPr>
            <w:color w:val="2A78D6"/>
            <w:sz w:val="17"/>
          </w:rPr>
          <w:t xml:space="preserve">TVNET – "Latvenergo" gatava turpināt sadarbību "Tet" un LMT daļu izpirkšanas procesā,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37">
        <w:r>
          <w:rPr>
            <w:color w:val="2A78D6"/>
            <w:sz w:val="17"/>
          </w:rPr>
          <w:t xml:space="preserve">NRA – "Latvenergo": tik dārga dabasgāze nav bijusi gadiem ilgi, 2026-10-14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42">
        <w:r>
          <w:rPr>
            <w:color w:val="2A78D6"/>
            <w:sz w:val="17"/>
          </w:rPr>
          <w:t xml:space="preserve">SEB Fossil Fuels sector policy (2026-04-23), p. 7-9,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3">
        <w:r>
          <w:rPr>
            <w:color w:val="2A78D6"/>
            <w:sz w:val="17"/>
          </w:rPr>
          <w:t xml:space="preserve">Latvenergo Group - Annual report 2025, p. 29,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4">
        <w:r>
          <w:rPr>
            <w:color w:val="2A78D6"/>
            <w:sz w:val="17"/>
          </w:rPr>
          <w:t xml:space="preserve">jauns.lv / LTV de facto - Latvenergo procurement audit (2020), 2020-10-04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45">
        <w:r>
          <w:rPr>
            <w:color w:val="2A78D6"/>
            <w:sz w:val="17"/>
          </w:rPr>
          <w:t xml:space="preserve">Latvenergo Group - Annual report 2025, p. 31,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46">
        <w:r>
          <w:rPr>
            <w:color w:val="2A78D6"/>
            <w:sz w:val="17"/>
          </w:rPr>
          <w:t xml:space="preserve">Latvenergo Group - Annual report 2025, p. 26-27,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43">
        <w:r>
          <w:rPr>
            <w:color w:val="2A78D6"/>
            <w:sz w:val="17"/>
          </w:rPr>
          <w:t xml:space="preserve">Latvenergo Group - Annual report 2025, p. 29-30,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47">
        <w:r>
          <w:rPr>
            <w:color w:val="2A78D6"/>
            <w:sz w:val="17"/>
          </w:rPr>
          <w:t xml:space="preserve">Latvenergo Group - Annual report 2025, p. 28,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39.</w:t>
        <w:tab/>
      </w:r>
      <w:hyperlink r:id="rId48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40.</w:t>
        <w:tab/>
      </w:r>
      <w:hyperlink r:id="rId48">
        <w:r>
          <w:rPr>
            <w:color w:val="2A78D6"/>
            <w:sz w:val="17"/>
          </w:rPr>
          <w:t xml:space="preserve">SEB Electricity and Renewable Energy sector policy,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41.</w:t>
        <w:tab/>
      </w:r>
      <w:hyperlink r:id="rId42">
        <w:r>
          <w:rPr>
            <w:color w:val="2A78D6"/>
            <w:sz w:val="17"/>
          </w:rPr>
          <w:t xml:space="preserve">SEB Fossil Fuels sector policy (2026-04-23), p. 4, 6,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42.</w:t>
        <w:tab/>
      </w:r>
      <w:hyperlink r:id="rId49">
        <w:r>
          <w:rPr>
            <w:color w:val="2A78D6"/>
            <w:sz w:val="17"/>
          </w:rPr>
          <w:t xml:space="preserve">Latvenergo Group - Annual report 2025, p. 10,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43.</w:t>
        <w:tab/>
      </w:r>
      <w:hyperlink r:id="rId50">
        <w:r>
          <w:rPr>
            <w:color w:val="2A78D6"/>
            <w:sz w:val="17"/>
          </w:rPr>
          <w:t xml:space="preserve">Latvenergo Group - Annual report 2025, p. 32, 2026-04-29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44.</w:t>
        <w:tab/>
      </w:r>
      <w:hyperlink r:id="rId43">
        <w:r>
          <w:rPr>
            <w:color w:val="2A78D6"/>
            <w:sz w:val="17"/>
          </w:rPr>
          <w:t xml:space="preserve">Latvenergo Group - Annual report 2025, p. 29, 38, 2026-04-29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Latvenergo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Latvenergo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Latvenergo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elek/2025_ar_en_con.pdf#page=24" TargetMode="External"/><Relationship Id="rId13" Type="http://schemas.openxmlformats.org/officeDocument/2006/relationships/hyperlink" Target="https://nasdaqbaltic.com/market/upload/reports/elek/2026_q2_en_con.pdf#page=12" TargetMode="External"/><Relationship Id="rId14" Type="http://schemas.openxmlformats.org/officeDocument/2006/relationships/hyperlink" Target="https://nasdaqbaltic.com/market/upload/reports/elek/2026_q2_en_con.pdf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asdaqbaltic.com/market/upload/reports/elek/2026_q2_en_con.pdf#page=7" TargetMode="External"/><Relationship Id="rId17" Type="http://schemas.openxmlformats.org/officeDocument/2006/relationships/hyperlink" Target="https://nasdaqbaltic.com/market/upload/reports/elek/2025_ar_en_con.pdf#page=9" TargetMode="External"/><Relationship Id="rId18" Type="http://schemas.openxmlformats.org/officeDocument/2006/relationships/hyperlink" Target="https://nasdaqbaltic.com/market/upload/reports/elek/2025_ar_en_con.pdf#page=8" TargetMode="External"/><Relationship Id="rId19" Type="http://schemas.openxmlformats.org/officeDocument/2006/relationships/hyperlink" Target="https://nasdaqbaltic.com/market/upload/reports/elek/2026_q2_en_con.pdf#page=5" TargetMode="External"/><Relationship Id="rId20" Type="http://schemas.openxmlformats.org/officeDocument/2006/relationships/hyperlink" Target="https://nasdaqbaltic.com/market/upload/reports/elek/2026_q2_en_con.pdf#page=15" TargetMode="External"/><Relationship Id="rId21" Type="http://schemas.openxmlformats.org/officeDocument/2006/relationships/hyperlink" Target="https://nasdaqbaltic.com/market/upload/reports/elek/2025_ar_en_con.pdf#page=12" TargetMode="External"/><Relationship Id="rId22" Type="http://schemas.openxmlformats.org/officeDocument/2006/relationships/image" Target="media/image2.png"/><Relationship Id="rId23" Type="http://schemas.openxmlformats.org/officeDocument/2006/relationships/hyperlink" Target="https://nasdaqbaltic.com/market/upload/reports/elek/2026_q2_en_con.pdf#page=3" TargetMode="External"/><Relationship Id="rId24" Type="http://schemas.openxmlformats.org/officeDocument/2006/relationships/hyperlink" Target="https://nasdaqbaltic.com/market/upload/reports/elek/2026_q2_en_con.pdf#page=14" TargetMode="External"/><Relationship Id="rId25" Type="http://schemas.openxmlformats.org/officeDocument/2006/relationships/hyperlink" Target="https://nasdaqbaltic.com/market/upload/reports/elek/2026_q2_en_con.pdf#page=8" TargetMode="External"/><Relationship Id="rId26" Type="http://schemas.openxmlformats.org/officeDocument/2006/relationships/hyperlink" Target="https://nasdaqbaltic.com/market/upload/reports/elek/2025_ar_en_con.pdf#page=27" TargetMode="External"/><Relationship Id="rId27" Type="http://schemas.openxmlformats.org/officeDocument/2006/relationships/hyperlink" Target="https://nasdaqbaltic.com/statistics/en/instrument/LV0000802684/security?date=2026-10-22" TargetMode="External"/><Relationship Id="rId28" Type="http://schemas.openxmlformats.org/officeDocument/2006/relationships/hyperlink" Target="https://nasdaqbaltic.com/statistics/en/instrument/LV0000870129/security?date=2026-10-22" TargetMode="External"/><Relationship Id="rId29" Type="http://schemas.openxmlformats.org/officeDocument/2006/relationships/hyperlink" Target="https://nasdaqbaltic.com/statistics/en/instrument/LV0000802460/security?date=2026-10-22" TargetMode="External"/><Relationship Id="rId30" Type="http://schemas.openxmlformats.org/officeDocument/2006/relationships/hyperlink" Target="https://nasdaqbaltic.com/statistics/en/instrument/XS3227294132/security?date=2026-10-22" TargetMode="External"/><Relationship Id="rId31" Type="http://schemas.openxmlformats.org/officeDocument/2006/relationships/hyperlink" Target="https://nasdaqbaltic.com/market/upload/reports/elek/2025_ar_en_con.pdf" TargetMode="External"/><Relationship Id="rId32" Type="http://schemas.openxmlformats.org/officeDocument/2006/relationships/hyperlink" Target="https://nasdaqbaltic.com/market/upload/reports/elek/2026_q2_en_con.pdf#page=13" TargetMode="External"/><Relationship Id="rId33" Type="http://schemas.openxmlformats.org/officeDocument/2006/relationships/hyperlink" Target="https://nasdaqbaltic.com/market/upload/reports/elek/2026_q2_en_con.pdf#page=18" TargetMode="External"/><Relationship Id="rId34" Type="http://schemas.openxmlformats.org/officeDocument/2006/relationships/hyperlink" Target="https://nasdaqbaltic.com/market/upload/reports/elek/2026_q2_en_con.pdf#page=17" TargetMode="External"/><Relationship Id="rId35" Type="http://schemas.openxmlformats.org/officeDocument/2006/relationships/hyperlink" Target="https://news.google.com/rss/articles/CBMipAFBVV95cUxPaGlHRXFybVhhc3VtZjVPVnQxaHYyQU1Ob0VjZzJ4OFZMT0FZYkhDUDJkbno5ZGVQOE1WRktCdEwwd0VUeDlscEExdE9oV2RQN0NRQzZzNkwyVlR1TnQwMmx2YS1nQWFzWjJoMmhoN3RfbnV4UTRTRlBBdG9mNDBKT3RGTGdHQnEzVlZNNXNJbVMybF9uckNtZmRWQzNublNHaTJiMw?oc=5" TargetMode="External"/><Relationship Id="rId36" Type="http://schemas.openxmlformats.org/officeDocument/2006/relationships/hyperlink" Target="https://news.google.com/rss/articles/CBMiowFBVV95cUxPd0pQN3NXOENkUDZoaTVOdThycUdQaTdacHQzU2kzTFV0OV8xNnBTNTBZOXB4eE9zNkxQVWwxWEVZWG9lbWdPZGZXbEIwRWFxSUhzSmp0Q0NjRVRRUXppalVseGJnWDhHZjBIbE9nSklnQ2JsaVc2LTZacXRCbFVSQi1Sc3pQaVI1eXEtcVlQZGhOUmJaaVloSlNJWFFMenNaX0Fr?oc=5" TargetMode="External"/><Relationship Id="rId37" Type="http://schemas.openxmlformats.org/officeDocument/2006/relationships/hyperlink" Target="https://news.google.com/rss/articles/CBMipgFBVV95cUxOcm0tb0tzVm55a1FMMzd1cW5mTVJxS0tlTnItUnl2UjB4S0VsTjFrSlRJelFqQnVDSDJkRmd5LWZ0UGpqRHMxaTdCcEJmaU9meVgyZjBNQ3A4ZEFjNlhsd1NOY1BZWTRvNEs0aTB3dmRYdDJ6UUhXQkxMY3d2WEd3UVB2SFVCY0pQekdpZGY3YmtpMVlfWTRkTEVDa2F1cjU4S1Y3SGVB?oc=5" TargetMode="External"/><Relationship Id="rId38" Type="http://schemas.openxmlformats.org/officeDocument/2006/relationships/hyperlink" Target="https://news.google.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?oc=5" TargetMode="External"/><Relationship Id="rId39" Type="http://schemas.openxmlformats.org/officeDocument/2006/relationships/hyperlink" Target="https://news.google.com/rss/articles/CBMivAFBVV95cUxPTjcxSmVvNTBFbEtscWZGQWVWa1RXWmdEX2dOdF9rRjg4bHBhQUVLMnpwbWZBQTctR0RCN0JTOGF0VTdEbUF1NG1WMHF4azhYa0FZaGZuUUNDcHYwQS1YVF9zbU5ZM1Z1Um5zNk16dXpGNDhoU0gyN1E0bFBsUTEycFhJa0hjOEtjeWRLLUtBZHJhUnhib3U2dlNwY3JvS0poek1jaG12R08ybEt5N3Ewcm0zWnprSW5YRzZ2Vg?oc=5" TargetMode="External"/><Relationship Id="rId40" Type="http://schemas.openxmlformats.org/officeDocument/2006/relationships/hyperlink" Target="https://news.google.com/rss/articles/CBMi1gFBVV95cUxOS21nMlo4enhpbzcwRU1VXzdvWXRCR1VRd3g0elpoWlJDN2dRZjhNdGhwT3hyS242aUdsVlhSM2p5NGRHQV80U3d6QjB2UWRrRzhxWi1RY3lfTnFoNDJHcnZ2dWFJSUpQNHQ0ek55bWNrNURBcExHUl9ac1BwVmVXTURiSUFDSHg2dTFzenlTc2VqTGdmN2VOQWNMMmVJbnl3Z1l4a3ViZjdYUURNdkRrVElYYzBHd3puZV9RRVduekdTb3R2N1Y0UHBubkVxajEzTVhIZERB?oc=5" TargetMode="External"/><Relationship Id="rId41" Type="http://schemas.openxmlformats.org/officeDocument/2006/relationships/hyperlink" Target="https://news.google.com/rss/articles/CBMiwwFBVV95cUxNbVEwcm1vR3Q4c2VWQjZhSzBfMi1tdXl6SmQ4aVhxaU5vRy1lZ3NsS3JoWmRzZ3RpQlR3WDl6aDVuQnRzbGEzOVZGcEVubGJQTHpRN3ZZQUNEWFJNb1hLOU4xdWxiY3lWR3NmTGh1bFFBMWFUNzAzN05nTXRiT1pGRnhzNHpiZGFBeFkzRXVWekpDd2lDeFR6TVo2VUpjUmVubU9XbllwaWotTV82S2l3Rld6bERNY2Q3Zlg3OVdZZWZrYlU?oc=5" TargetMode="External"/><Relationship Id="rId42" Type="http://schemas.openxmlformats.org/officeDocument/2006/relationships/hyperlink" Target="https://webapp.sebgroup.com/mb/mblib.nsf/dld/80AF6A2E5F88CDC2C12586B1002E33C2?opendocument" TargetMode="External"/><Relationship Id="rId43" Type="http://schemas.openxmlformats.org/officeDocument/2006/relationships/hyperlink" Target="https://nasdaqbaltic.com/market/upload/reports/elek/2025_ar_en_con.pdf#page=29" TargetMode="External"/><Relationship Id="rId44" Type="http://schemas.openxmlformats.org/officeDocument/2006/relationships/hyperlink" Target="https://jauns.lv/raksts/zinas/407457-starp-latvenergo-koncerna-iepirkumu-uzvaretajiem-atrodami-vairaki-martinsona-motokluba-ziedotaji" TargetMode="External"/><Relationship Id="rId45" Type="http://schemas.openxmlformats.org/officeDocument/2006/relationships/hyperlink" Target="https://nasdaqbaltic.com/market/upload/reports/elek/2025_ar_en_con.pdf#page=31" TargetMode="External"/><Relationship Id="rId46" Type="http://schemas.openxmlformats.org/officeDocument/2006/relationships/hyperlink" Target="https://nasdaqbaltic.com/market/upload/reports/elek/2025_ar_en_con.pdf#page=26" TargetMode="External"/><Relationship Id="rId47" Type="http://schemas.openxmlformats.org/officeDocument/2006/relationships/hyperlink" Target="https://nasdaqbaltic.com/market/upload/reports/elek/2025_ar_en_con.pdf#page=28" TargetMode="External"/><Relationship Id="rId48" Type="http://schemas.openxmlformats.org/officeDocument/2006/relationships/hyperlink" Target="https://sebgroup.com/sustainability/our-sustainability-strategy/policies" TargetMode="External"/><Relationship Id="rId49" Type="http://schemas.openxmlformats.org/officeDocument/2006/relationships/hyperlink" Target="https://nasdaqbaltic.com/market/upload/reports/elek/2025_ar_en_con.pdf#page=10" TargetMode="External"/><Relationship Id="rId50" Type="http://schemas.openxmlformats.org/officeDocument/2006/relationships/hyperlink" Target="https://nasdaqbaltic.com/market/upload/reports/elek/2025_ar_en_con.pdf#page=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