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State investment company (defence industry, energy, Business Support Fund)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2.826%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3.119%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VIK is 100% state-owned and Fitch rates its bond programme A+, linked to the state guarantee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profit EUR 7.1m, equity ratio 70% (own calculation)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assets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11.1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9,012.5 %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defence investor:</w:t>
      </w:r>
      <w:r>
        <w:rPr>
          <w:b w:val="0"/>
        </w:rPr>
        <w:t xml:space="preserve"> VIK finances Lithuania's defence industry and other strategic sectors; its main project is the Rheinmetall ammunition plant in Baisogala (VIK investment up to EUR 71.05m)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Fitch rates the bond programme A+, the highest so far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Cash returning from the Business Support Fund:</w:t>
      </w:r>
      <w:r>
        <w:rPr>
          <w:b w:val="0"/>
        </w:rPr>
        <w:t xml:space="preserve"> EUR 120.5m (60%) of the EUR 200m returned so far, the rest by mid-2028; another EUR 22m received on 2026-07-02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EUR 75m of the EUR 125m of bonds issued has already been redeemed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2.826%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3.119%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51.8%ᶜ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59.0%ᶜ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70.1%ᶜ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VIK bought 49% of EPSO-G Invest (EUR 36.3m), which owns 48% of Rheinmetall Defence Lietuva; plant construction started on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2026 a memorandum was signed with Rheinmetall Landsysteme and KNDS Deutschland on a ~EUR 50m maintenance centre in the Kaunas FEZ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February 2026 the shareholder decided to transfer VIK's shares to the state-controlled ILTE (Government approval needed)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assets EUR 169.4m, equity EUR 118.9m; 1H profit EUR 7.1m, mainly from an EUR 8.0m fair value gain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EUR 3.8m (2024:</w:t>
      </w:r>
      <w:r>
        <w:rPr>
          <w:b w:val="0"/>
        </w:rPr>
        <w:t xml:space="preserve"> 8.1m); bonds outstanding at 2026-06-30 about EUR 50.6m (own calculation)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Recover the full EUR 200m Business Support Fund investment by mid-2028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120.5m (60%) returned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 up to EUR 71.05m in the Rheinmetall Defence Lietuva project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36m invested in 2025; construction under way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also financed by the EUR 25m defence bond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2.826% bond maturing 2027-06-30 (Nasdaq Vilnius since 2022-07-04) and a 3.119% defence bond, EUR 25m, issued 2025-09-24, maturing 2029-09-24, with proceeds fully allocated to the Rheinmetall project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risk close to the sovereign:</w:t>
      </w:r>
      <w:r>
        <w:rPr>
          <w:b w:val="0"/>
        </w:rPr>
        <w:t xml:space="preserve"> the bonds are backed by a state guarantee, so the Fitch A+ rating is linked to Lithuania's rating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 and guarantee, falling debt and returning fund money.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Defence priority:</w:t>
      </w:r>
      <w:r>
        <w:rPr>
          <w:b w:val="0"/>
        </w:rPr>
        <w:t xml:space="preserve"> given the changed geopolitical situation, investment priority goes to defence and security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may invest up to EUR 71.05m in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from revaluation:</w:t>
      </w:r>
      <w:r>
        <w:rPr>
          <w:b w:val="0"/>
        </w:rPr>
        <w:t xml:space="preserve"> net profit EUR 7.1m (a year earlier -0.1m) due to appreciation of long-term financial assets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Funding:</w:t>
      </w:r>
      <w:r>
        <w:rPr>
          <w:b w:val="0"/>
        </w:rPr>
        <w:t xml:space="preserve"> Fitch rated the bond programme A+, the highest so far; the Government set a 2026 borrowing limit of EUR 153m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by mid-2028 PVF returns and bond redemption proceeds will be an important funding source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2026-07-25 – 2026-10-23: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controversial or nuclear weapons.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invests in conventional defence industry (the Rheinmetall ammunition plant in Lithuania)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Arms and Defence policy only restricts controversial weapons, nuclear weapons outside NATO, civilian semi-automatic arms and unlicensed trade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 benefit – national security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finances Lithuania's defence and security industry, e.g. the ammunition plant in Baisogala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By investing we contribute to national security, which we assign to the 'S' (social) part of ESG.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itself states that sustainability is not its primary objective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priority is defence and security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or taxonomy 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procurement through CPO LT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Nasdaq Vilnius corporate governance code is applied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and the Arms and Defence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Investments in licensed defence production in a NATO country, with no controversial or nuclear weapons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Corporate governance code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ESG policy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company with a clear defence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has no premises or property, so its direct environmental impact is small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key PAI indicator for the fund is weapons exposure: conventional weapons only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Invests in conventional defence industry (allowed under SEB policy); sustainability is not a priority.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nasdaqbaltic.com/market/upload/reports/vika/2026_q2_en_esef.pdf#page=13" TargetMode="External"/><Relationship Id="rId32" Type="http://schemas.openxmlformats.org/officeDocument/2006/relationships/hyperlink" Target="https://nasdaqbaltic.com/market/upload/reports/vika/2026_q2_en_esef.pdf#page=14" TargetMode="External"/><Relationship Id="rId33" Type="http://schemas.openxmlformats.org/officeDocument/2006/relationships/hyperlink" Target="https://nasdaqbaltic.com/market/upload/reports/vika/2026_q2_en_esef.pdf#page=35" TargetMode="External"/><Relationship Id="rId34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