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Valstybės investicinis kapitalas (VIK)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Fitch A+ on the EUR 400m bond programme, linked to Lithuania's rating through the state guarantee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2.826%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LT0000406613  ·  2,826 % · 2027-06-30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Valst. inv. kap. 3.119% 4Y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LT0000135436  ·  3,119 % · 2029-09-24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VIK 100 % priklauso valstybei, obligacijų programai Fitch suteikė A+ reitingą, susietą su valstybės garantija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pelnas 7,1 mln. EUR, nuosavo kapitalo dalis 70 % (mūsų skaičiavimas)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Turtas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118,9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70,1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11,1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9 012,5 %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VIK įsigijo 49 % EPSO-G Invest (36,3 mln. EUR), kuri valdo 48 % Rheinmetall Defence Lietuva; gamyklos statyba pradėta 2025-11-04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 m. pasirašytas memorandumas su Rheinmetall Landsysteme ir KNDS Deutschland dėl ~50 mln. EUR techninės priežiūros centro Kauno LEZ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2026-02 akcininkas nusprendė perduoti VIK akcijas valstybės valdomai ILTE (reikia Vyriausybės pritarimo)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3,8 mln. EUR (2024 m. – 8,1 mln.); išleistų obligacijų likutis 2026-06-30 – apie 50,6 mln. EUR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Grąžinta 120,5 mln. EUR (60 %)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investuota 36 mln. EUR; 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Vykdoma; finansuojama ir 25 mln. EUR gynybos obligacijomis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Gynybos prioritetas:</w:t>
      </w:r>
      <w:r>
        <w:rPr>
          <w:b w:val="0"/>
        </w:rPr>
        <w:t xml:space="preserve"> pasikeitus geopolitinei aplinkai, investicijų prioritetas teikiamas gynybai ir saugumui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; VIK gali investuoti iki 71,05 mln. EUR į Rheinmetall Defence Lietuva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Pelną lėmė vertinimas:</w:t>
      </w:r>
      <w:r>
        <w:rPr>
          <w:b w:val="0"/>
        </w:rPr>
        <w:t xml:space="preserve"> grynasis pelnas 7,1 mln. EUR (prieš metus –0,1 mln.) dėl ilgalaikio finansinio turto vertės padidėjimo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Finansavimas:</w:t>
      </w:r>
      <w:r>
        <w:rPr>
          <w:b w:val="0"/>
        </w:rPr>
        <w:t xml:space="preserve"> Fitch obligacijų programai suteikė A+ – aukščiausią iki šiol; Vyriausybė 2026 m. skolinimosi limitą patvirtino 153 mln. EUR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; iki 2028 m. vidurio grąžos iš PVF ir obligacijų išpirkimo lėšos taps svarbiu finansavimo šaltiniu</w:t>
      </w:r>
      <w:hyperlink r:id="rId1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bendrovei UAB „Valstybės investicinis kapitalas“ numatomas išskirtinis vaidmuo skatinant kapitalo rinkas bei mobilizuojant investicijas gynybos sektoriuje</w:t>
              </w:r>
            </w:hyperlink>
            <w:r>
              <w:rPr>
                <w:b w:val="0"/>
                <w:color w:val="667085"/>
                <w:sz w:val="15"/>
              </w:rPr>
              <w:t xml:space="preserve">   Lietuvos Respublikos Vyriausybė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„Valstybės investicinis kapitalas“ nebus prijungtas prie ILTE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Kontroversiškų ar branduolinių ginklų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investuoja į įprastinę gynybos pramonę (Rheinmetall amunicijos gamykla Lietuvoje)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ginklų ir gynybos politika riboja tik kontroversiškus ginklus, branduolinius ginklus ne NATO šalyse, civilinius pusiau automatinius ginklus ir nelicencijuotą prekybą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Socialinė nauda – šalies saugumas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VIK finansuoja Lietuvos gynybos ir saugumo pramonę, pvz., amunicijos gamyklą Baisogaloje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Investuodami prisidedame prie šalies saugumo – tai priskiriame ESG „S“ (socialinei) daliai.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Pati VIK nurodo, kad tvarumas nėra jos pagrindinis tikslas, o prioritetas – gynyba ir saugumas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ar taksonomijos tikslų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Žalieji pirkimai per CPO LT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Taikomas Nasdaq Vilnius 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 xml:space="preserve"> ir ginklų bei gynybos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Investicijos į licencijuotą gynybos gamybą NATO šalyje, be kontroversiškų ar branduolinių ginklų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Valdysenos kodeksas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politikos viešai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įmonė su aiškiu gynybos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Nuosavų patalpų ir turto VIK neturi, todėl tiesioginis poveikis aplinkai nedidelis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Fondui svarbiausias PAI rodiklis – ginklų sektoriaus poveikis: tik įprastiniai ginklai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Investuoja į įprastinę gynybos pramonę (leidžiama pagal SEB politiką); tvarumas nėra prioritetas.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4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7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4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VIK - Interim report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VIK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VIK - Interim report 6M 2026 (unaudited),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VIK - Annual report 2025 (audited), p. 8,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Valstybės investicinis kapitalas (VIK)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Valstybės investicinis kapitalas (VIK)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vika/2026_q2_en_esef.pdf#page=10" TargetMode="External"/><Relationship Id="rId13" Type="http://schemas.openxmlformats.org/officeDocument/2006/relationships/hyperlink" Target="https://nasdaqbaltic.com/market/upload/reports/vika/2026_q2_en_esef.pdf#page=9" TargetMode="External"/><Relationship Id="rId14" Type="http://schemas.openxmlformats.org/officeDocument/2006/relationships/hyperlink" Target="https://nasdaqbaltic.com/market/upload/reports/vika/2026_q2_en_esef.pdf#page=20" TargetMode="External"/><Relationship Id="rId15" Type="http://schemas.openxmlformats.org/officeDocument/2006/relationships/hyperlink" Target="https://nasdaqbaltic.com/market/upload/reports/vika/2026_q2_en_esef.pdf#page=4" TargetMode="External"/><Relationship Id="rId16" Type="http://schemas.openxmlformats.org/officeDocument/2006/relationships/hyperlink" Target="https://nasdaqbaltic.com/market/upload/reports/vika/2025_ar_en_esef.pdf#page=5" TargetMode="External"/><Relationship Id="rId17" Type="http://schemas.openxmlformats.org/officeDocument/2006/relationships/hyperlink" Target="https://nasdaqbaltic.com/market/upload/reports/vika/2026_q2_en_esef.pdf#page=8" TargetMode="External"/><Relationship Id="rId18" Type="http://schemas.openxmlformats.org/officeDocument/2006/relationships/hyperlink" Target="https://nasdaqbaltic.com/market/upload/reports/vika/2025_ar_en_esef.pdf#page=7" TargetMode="External"/><Relationship Id="rId19" Type="http://schemas.openxmlformats.org/officeDocument/2006/relationships/hyperlink" Target="https://nasdaqbaltic.com/market/upload/reports/vika/2025_q2_en_con.pdf#page=3" TargetMode="External"/><Relationship Id="rId20" Type="http://schemas.openxmlformats.org/officeDocument/2006/relationships/hyperlink" Target="https://nasdaqbaltic.com/market/upload/reports/vika/2025_ar_en_esef.pdf#page=22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nasdaqbaltic.com/market/upload/reports/vika/2025_ar_en_esef.pdf#page=14" TargetMode="External"/><Relationship Id="rId23" Type="http://schemas.openxmlformats.org/officeDocument/2006/relationships/hyperlink" Target="https://nasdaqbaltic.com/market/upload/reports/vika/2025_q2_en_con.pdf#page=5" TargetMode="External"/><Relationship Id="rId24" Type="http://schemas.openxmlformats.org/officeDocument/2006/relationships/hyperlink" Target="https://nasdaqbaltic.com/market/upload/reports/vika/2026_q2_en_esef.pdf#page=17" TargetMode="External"/><Relationship Id="rId25" Type="http://schemas.openxmlformats.org/officeDocument/2006/relationships/hyperlink" Target="https://nasdaqbaltic.com/market/upload/reports/vika/2025_ar_en_esef.pdf#page=11" TargetMode="External"/><Relationship Id="rId26" Type="http://schemas.openxmlformats.org/officeDocument/2006/relationships/hyperlink" Target="https://nasdaqbaltic.com/market/upload/reports/vika/2026_q2_en_esef.pdf#page=6" TargetMode="External"/><Relationship Id="rId27" Type="http://schemas.openxmlformats.org/officeDocument/2006/relationships/hyperlink" Target="https://nasdaqbaltic.com/market/upload/reports/vika/2026_q2_en_esef.pdf#page=21" TargetMode="External"/><Relationship Id="rId28" Type="http://schemas.openxmlformats.org/officeDocument/2006/relationships/hyperlink" Target="https://news.google.com/rss/articles/CBMiuAJBVV95cUxNYlhuaGpJMk9Od0lWNTRnZUFSSEZsQXd4eUIxT1d0U05aX2tZbnhMaWRPRXJRSlM3Ykp0OE9lS0VCeWJMaTlWQlR3aEd2QUpCbUtXZWpFRUo0Ul9kWFJHb2lYWmJtVGxubWR5TWtOelBCUzU5czF5d1NrMTk2UGYzQnNuVU1KcDNwVERRcG1Lc2JpZVlFN3EtTGRON09JMkhBYzRPQzd4MkVIQm1NUW9RTkVOVVBONld2Z2FsOWllc2Y0WEJ5dDNXdW9xcXBMdTl2dUV0SnM1R1lmemxVekFPWDlYaHFIZXNJT3o2YlBId3JjSnV6TFdZSUNlNzR4NmhQMzVPa29LLXYtdnNVSS12N3l6clVlenVENlFuekpSRzVYMDZ5T3dxR1NERWJnSnBNUklJZkx1SkY?oc=5" TargetMode="External"/><Relationship Id="rId29" Type="http://schemas.openxmlformats.org/officeDocument/2006/relationships/hyperlink" Target="https://news.google.com/rss/articles/CBMiugFBVV95cUxNcnNrWmpNZ1ZaRVh5Ym45UWpkaUYybjJKX0ZFQkJhZnBJb192cXNFdXNaT0NHVTI1eWhqWGxsNjJxUGV0azc2am9vTFRJLXZ2V1BzX241N0ZqSTB0Sl9ISmhLUjE3ZGRnY183MFVYYVhpR1BFeXJOaDlncWh5V1ZLa09HdkpPcVh4TWxacXBCajkwdDhMbE0xbVZrNXYzdEV0V0o5a3JWUlB0eGp2UlItcUR2LVlaSVEtUHc?oc=5" TargetMode="External"/><Relationship Id="rId30" Type="http://schemas.openxmlformats.org/officeDocument/2006/relationships/hyperlink" Target="https://sebgroup.com/sustainability/our-sustainability-strategy/policies" TargetMode="External"/><Relationship Id="rId31" Type="http://schemas.openxmlformats.org/officeDocument/2006/relationships/hyperlink" Target="https://nasdaqbaltic.com/market/upload/reports/vika/2026_q2_en_esef.pdf#page=13" TargetMode="External"/><Relationship Id="rId32" Type="http://schemas.openxmlformats.org/officeDocument/2006/relationships/hyperlink" Target="https://nasdaqbaltic.com/market/upload/reports/vika/2026_q2_en_esef.pdf#page=14" TargetMode="External"/><Relationship Id="rId33" Type="http://schemas.openxmlformats.org/officeDocument/2006/relationships/hyperlink" Target="https://nasdaqbaltic.com/market/upload/reports/vika/2026_q2_en_esef.pdf#page=35" TargetMode="External"/><Relationship Id="rId34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