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60" w:type="dxa"/>
          <w:left w:w="280" w:type="dxa"/>
          <w:bottom w:w="260" w:type="dxa"/>
          <w:right w:w="280" w:type="dxa"/>
        </w:tblCellMar>
        <w:tblLook w:firstColumn="1" w:firstRow="1" w:lastColumn="0" w:lastRow="0" w:noHBand="0" w:noVBand="1" w:val="04A0"/>
      </w:tblPr>
      <w:tblGrid>
        <w:gridCol w:w="7030"/>
        <w:gridCol w:w="2608"/>
      </w:tblGrid>
      <w:tr>
        <w:tc>
          <w:tcPr>
            <w:tcW w:type="dxa" w:w="7030"/>
            <w:shd w:val="clear" w:color="auto" w:fill="1F4E79"/>
          </w:tcPr>
          <w:p>
            <w:pPr>
              <w:spacing w:before="0" w:after="0"/>
            </w:pPr>
            <w:r>
              <w:rPr>
                <w:b/>
                <w:caps/>
                <w:color w:val="AFC6DD"/>
                <w:sz w:val="17"/>
              </w:rPr>
              <w:t>Issuer review · 6M2026</w:t>
            </w:r>
          </w:p>
          <w:p>
            <w:pPr>
              <w:spacing w:before="40" w:after="0"/>
            </w:pPr>
            <w:r>
              <w:rPr>
                <w:b/>
                <w:color w:val="FFFFFF"/>
                <w:sz w:val="52"/>
              </w:rPr>
              <w:t>Artea bankas</w:t>
            </w:r>
          </w:p>
        </w:tc>
        <w:tc>
          <w:tcPr>
            <w:tcW w:type="dxa" w:w="2608"/>
            <w:shd w:val="clear" w:color="auto" w:fill="1F4E79"/>
          </w:tcPr>
          <w:p>
            <w:pPr>
              <w:spacing w:before="280" w:after="0"/>
              <w:jc w:val="right"/>
            </w:pPr>
            <w:r>
              <w:rPr>
                <w:b/>
                <w:color w:val="1B7F3B"/>
                <w:sz w:val="19"/>
                <w:shd w:val="clear" w:color="auto" w:fill="E3F3E8"/>
              </w:rPr>
              <w:t xml:space="preserve">  ●  OK  </w:t>
            </w:r>
          </w:p>
        </w:tc>
      </w:tr>
    </w:tbl>
    <w:p>
      <w:pPr>
        <w:pBdr>
          <w:top w:val="single" w:sz="12" w:color="2A78D6" w:space="0"/>
        </w:pBdr>
        <w:spacing w:before="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120" w:type="dxa"/>
          <w:right w:w="16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nil"/>
              <w:left w:val="nil"/>
              <w:bottom w:val="single" w:sz="4" w:color="C9D3DE" w:space="0"/>
              <w:right w:val="nil"/>
            </w:tcBorders>
          </w:tcPr>
          <w:p>
            <w:pPr>
              <w:spacing w:before="0" w:after="20"/>
            </w:pPr>
            <w:r>
              <w:rPr>
                <w:b/>
                <w:caps/>
                <w:color w:val="5F6B7A"/>
                <w:sz w:val="15"/>
              </w:rPr>
              <w:t>Analysis date</w:t>
            </w:r>
          </w:p>
          <w:p>
            <w:pPr>
              <w:spacing w:before="0" w:after="0"/>
            </w:pPr>
            <w:r>
              <w:rPr>
                <w:b w:val="0"/>
                <w:sz w:val="19"/>
              </w:rPr>
              <w:t>2026-10-22</w:t>
            </w:r>
          </w:p>
        </w:tc>
        <w:tc>
          <w:tcPr>
            <w:tcW w:type="dxa" w:w="3213"/>
            <w:tcBorders>
              <w:top w:val="nil"/>
              <w:left w:val="nil"/>
              <w:bottom w:val="single" w:sz="4" w:color="C9D3DE" w:space="0"/>
              <w:right w:val="nil"/>
            </w:tcBorders>
          </w:tcPr>
          <w:p>
            <w:pPr>
              <w:spacing w:before="0" w:after="20"/>
            </w:pPr>
            <w:r>
              <w:rPr>
                <w:b/>
                <w:caps/>
                <w:color w:val="5F6B7A"/>
                <w:sz w:val="15"/>
              </w:rPr>
              <w:t>Issuer rating</w:t>
            </w:r>
          </w:p>
          <w:p>
            <w:pPr>
              <w:spacing w:before="0" w:after="0"/>
            </w:pPr>
            <w:r>
              <w:rPr>
                <w:b w:val="0"/>
                <w:sz w:val="19"/>
              </w:rPr>
              <w:t>Moody's (2026-04-21): long-term deposits upgraded to A3, senior unsecured Baa1 affirmed, outlook changed from stable to positive</w:t>
            </w:r>
            <w:hyperlink r:id="rId12">
              <w:r>
                <w:rPr>
                  <w:color w:val="2A78D6"/>
                  <w:vertAlign w:val="superscript"/>
                  <w:sz w:val="16"/>
                </w:rPr>
                <w:t xml:space="preserve">1</w:t>
              </w:r>
            </w:hyperlink>
          </w:p>
        </w:tc>
        <w:tc>
          <w:tcPr>
            <w:tcW w:type="dxa" w:w="3213"/>
            <w:tcBorders>
              <w:top w:val="nil"/>
              <w:left w:val="nil"/>
              <w:bottom w:val="single" w:sz="4" w:color="C9D3DE" w:space="0"/>
              <w:right w:val="nil"/>
            </w:tcBorders>
          </w:tcPr>
          <w:p>
            <w:pPr>
              <w:spacing w:before="0" w:after="20"/>
            </w:pPr>
            <w:r>
              <w:rPr>
                <w:b/>
                <w:caps/>
                <w:color w:val="5F6B7A"/>
                <w:sz w:val="15"/>
              </w:rPr>
              <w:t>Next report</w:t>
            </w:r>
          </w:p>
          <w:p>
            <w:pPr>
              <w:spacing w:before="0" w:after="0"/>
            </w:pPr>
            <w:r>
              <w:rPr>
                <w:b w:val="0"/>
                <w:sz w:val="19"/>
              </w:rPr>
              <w:t>9M 2026 interim report - 2026-10-28</w:t>
            </w:r>
          </w:p>
        </w:tc>
      </w:tr>
    </w:tbl>
    <w:p>
      <w:pPr>
        <w:spacing w:before="0" w:after="8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80" w:type="dxa"/>
          <w:left w:w="260" w:type="dxa"/>
          <w:bottom w:w="200" w:type="dxa"/>
          <w:right w:w="26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single" w:sz="24" w:color="1B7F3B" w:space="0"/>
              <w:bottom w:val="nil"/>
              <w:right w:val="nil"/>
            </w:tcBorders>
            <w:shd w:val="clear" w:color="auto" w:fill="E3F3E8"/>
          </w:tcPr>
          <w:p>
            <w:pPr>
              <w:spacing w:before="0" w:after="0" w:line="276" w:lineRule="auto"/>
            </w:pPr>
            <w:r>
              <w:rPr>
                <w:b/>
                <w:color w:val="1A1A1A"/>
                <w:sz w:val="21"/>
              </w:rPr>
              <w:t>Position OK, but profit is falling.</w:t>
            </w:r>
            <w:r>
              <w:rPr>
                <w:b w:val="0"/>
                <w:color w:val="1A1A1A"/>
                <w:sz w:val="21"/>
              </w:rPr>
              <w:t xml:space="preserve"> 1H profit EUR 23.2m versus 31.9m a year ago; ROE 7.8%</w:t>
            </w:r>
            <w:hyperlink r:id="rId13">
              <w:r>
                <w:rPr>
                  <w:color w:val="2A78D6"/>
                  <w:vertAlign w:val="superscript"/>
                  <w:sz w:val="17"/>
                </w:rPr>
                <w:t xml:space="preserve">2</w:t>
              </w:r>
            </w:hyperlink>
            <w:r>
              <w:rPr>
                <w:b w:val="0"/>
                <w:color w:val="1A1A1A"/>
                <w:sz w:val="21"/>
              </w:rPr>
              <w:t>. Capital (21.5%) and liquidity (LCR 179%) have headroom, and Moody's upgraded the rating in April 2026</w:t>
            </w:r>
            <w:hyperlink r:id="rId13">
              <w:r>
                <w:rPr>
                  <w:color w:val="2A78D6"/>
                  <w:vertAlign w:val="superscript"/>
                  <w:sz w:val="17"/>
                </w:rPr>
                <w:t xml:space="preserve">3</w:t>
              </w:r>
            </w:hyperlink>
            <w:r>
              <w:rPr>
                <w:b w:val="0"/>
                <w:color w:val="1A1A1A"/>
                <w:sz w:val="21"/>
              </w:rPr>
              <w:t>.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50" w:type="dxa"/>
          <w:left w:w="170" w:type="dxa"/>
          <w:bottom w:w="150" w:type="dxa"/>
          <w:right w:w="100" w:type="dxa"/>
        </w:tblCellMar>
        <w:tblLook w:firstColumn="1" w:firstRow="1" w:lastColumn="0" w:lastRow="0" w:noHBand="0" w:noVBand="1" w:val="04A0"/>
      </w:tblPr>
      <w:tblGrid>
        <w:gridCol w:w="2260"/>
        <w:gridCol w:w="198"/>
        <w:gridCol w:w="2260"/>
        <w:gridCol w:w="198"/>
        <w:gridCol w:w="2260"/>
        <w:gridCol w:w="198"/>
        <w:gridCol w:w="2260"/>
      </w:tblGrid>
      <w:tr>
        <w:tc>
          <w:tcPr>
            <w:tcW w:type="dxa" w:w="2261"/>
            <w:tcBorders>
              <w:top w:val="single" w:sz="18" w:color="2A78D6" w:space="0"/>
              <w:left w:val="single" w:sz="4" w:color="C9D3DE" w:space="0"/>
              <w:bottom w:val="single" w:sz="4" w:color="C9D3DE" w:space="0"/>
              <w:right w:val="single" w:sz="4" w:color="C9D3DE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5F6B7A"/>
                <w:sz w:val="14"/>
              </w:rPr>
              <w:t>Net profit</w:t>
            </w:r>
            <w:r>
              <w:rPr>
                <w:b w:val="0"/>
                <w:color w:val="5F6B7A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F4E79"/>
                <w:sz w:val="34"/>
              </w:rPr>
              <w:t>23.2</w:t>
            </w:r>
            <w:r>
              <w:rPr>
                <w:b w:val="0"/>
                <w:color w:val="5F6B7A"/>
                <w:sz w:val="18"/>
              </w:rPr>
              <w:t xml:space="preserve"> EUR m</w:t>
            </w:r>
          </w:p>
          <w:p>
            <w:pPr>
              <w:spacing w:before="0" w:after="0"/>
            </w:pPr>
            <w:r>
              <w:rPr>
                <w:b w:val="0"/>
                <w:color w:val="5F6B7A"/>
                <w:sz w:val="15"/>
              </w:rPr>
              <w:t>▼ 27.3 %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C9D3DE" w:space="0"/>
              <w:bottom w:val="single" w:sz="4" w:color="C9D3DE" w:space="0"/>
              <w:right w:val="single" w:sz="4" w:color="C9D3DE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5F6B7A"/>
                <w:sz w:val="14"/>
              </w:rPr>
              <w:t>ROE</w:t>
            </w:r>
            <w:r>
              <w:rPr>
                <w:b w:val="0"/>
                <w:color w:val="5F6B7A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F4E79"/>
                <w:sz w:val="34"/>
              </w:rPr>
              <w:t>7.8</w:t>
            </w:r>
            <w:r>
              <w:rPr>
                <w:b w:val="0"/>
                <w:color w:val="5F6B7A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5F6B7A"/>
                <w:sz w:val="15"/>
              </w:rPr>
              <w:t>▼ 3.3 p. p.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C9D3DE" w:space="0"/>
              <w:bottom w:val="single" w:sz="4" w:color="C9D3DE" w:space="0"/>
              <w:right w:val="single" w:sz="4" w:color="C9D3DE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5F6B7A"/>
                <w:sz w:val="14"/>
              </w:rPr>
              <w:t>Total capital ratio</w:t>
            </w:r>
            <w:r>
              <w:rPr>
                <w:b w:val="0"/>
                <w:color w:val="5F6B7A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F4E79"/>
                <w:sz w:val="34"/>
              </w:rPr>
              <w:t>21.5</w:t>
            </w:r>
            <w:r>
              <w:rPr>
                <w:b w:val="0"/>
                <w:color w:val="5F6B7A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5F6B7A"/>
                <w:sz w:val="15"/>
              </w:rPr>
              <w:t>▲ 0.35 p. p. vs FY2025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C9D3DE" w:space="0"/>
              <w:bottom w:val="single" w:sz="4" w:color="C9D3DE" w:space="0"/>
              <w:right w:val="single" w:sz="4" w:color="C9D3DE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5F6B7A"/>
                <w:sz w:val="14"/>
              </w:rPr>
              <w:t>LCR</w:t>
            </w:r>
            <w:r>
              <w:rPr>
                <w:b w:val="0"/>
                <w:color w:val="5F6B7A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F4E79"/>
                <w:sz w:val="34"/>
              </w:rPr>
              <w:t>179</w:t>
            </w:r>
            <w:r>
              <w:rPr>
                <w:b w:val="0"/>
                <w:color w:val="5F6B7A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5F6B7A"/>
                <w:sz w:val="15"/>
              </w:rPr>
              <w:t>▼ 29 p. p. vs FY2025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01</w:t>
        <w:tab/>
      </w:r>
      <w:r>
        <w:rPr>
          <w:b/>
          <w:color w:val="1F4E79"/>
          <w:sz w:val="28"/>
        </w:rPr>
        <w:t>Quick summary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Lower profit:</w:t>
      </w:r>
      <w:r>
        <w:rPr>
          <w:b w:val="0"/>
        </w:rPr>
        <w:t xml:space="preserve"> 1H net profit EUR 23.2m (31.9m a year ago), ROE 7.8% (11.1%). Net interest income rose 6% to EUR 72.5m, but costs grew faster: cost/income 56.8%</w:t>
      </w:r>
      <w:hyperlink r:id="rId13">
        <w:r>
          <w:rPr>
            <w:color w:val="2A78D6"/>
            <w:vertAlign w:val="superscript"/>
            <w:sz w:val="17"/>
          </w:rPr>
          <w:t xml:space="preserve">3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Good loan quality:</w:t>
      </w:r>
      <w:r>
        <w:rPr>
          <w:b w:val="0"/>
        </w:rPr>
        <w:t xml:space="preserve"> cost of risk 0.01% (0.24%), stage 3 loans 2.4% (calculated by the tool)</w:t>
      </w:r>
      <w:hyperlink r:id="rId13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Rating upgraded:</w:t>
      </w:r>
      <w:r>
        <w:rPr>
          <w:b w:val="0"/>
        </w:rPr>
        <w:t xml:space="preserve"> on 2026-04-21 Moody's raised the deposit rating to A3; senior unsecured debt Baa1, outlook positive</w:t>
      </w:r>
      <w:hyperlink r:id="rId12">
        <w:r>
          <w:rPr>
            <w:color w:val="2A78D6"/>
            <w:vertAlign w:val="superscript"/>
            <w:sz w:val="17"/>
          </w:rPr>
          <w:t xml:space="preserve">1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Shareholders and management changing:</w:t>
      </w:r>
      <w:r>
        <w:rPr>
          <w:b w:val="0"/>
        </w:rPr>
        <w:t xml:space="preserve"> Tesonet Global plans to raise its stake to 31.68% and seek control (ECB approval, by Q1 2027); Tomas Varenbergas appointed acting CEO</w:t>
      </w:r>
      <w:hyperlink r:id="rId13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</w:t>
      </w: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02</w:t>
        <w:tab/>
      </w:r>
      <w:r>
        <w:rPr>
          <w:b/>
          <w:color w:val="1F4E79"/>
          <w:sz w:val="28"/>
        </w:rPr>
        <w:t>Instruments held and ISINs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1513"/>
        <w:gridCol w:w="2241"/>
        <w:gridCol w:w="840"/>
        <w:gridCol w:w="1120"/>
        <w:gridCol w:w="1569"/>
        <w:gridCol w:w="2353"/>
      </w:tblGrid>
      <w:tr>
        <w:tc>
          <w:tcPr>
            <w:tcW w:type="dxa" w:w="1513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ISIN</w:t>
            </w:r>
          </w:p>
        </w:tc>
        <w:tc>
          <w:tcPr>
            <w:tcW w:type="dxa" w:w="2241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Instrument</w:t>
            </w:r>
          </w:p>
        </w:tc>
        <w:tc>
          <w:tcPr>
            <w:tcW w:type="dxa" w:w="841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1F4E79"/>
                <w:sz w:val="16"/>
              </w:rPr>
              <w:t>Coupon</w:t>
            </w:r>
          </w:p>
        </w:tc>
        <w:tc>
          <w:tcPr>
            <w:tcW w:type="dxa" w:w="1121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Maturity</w:t>
            </w:r>
          </w:p>
        </w:tc>
        <w:tc>
          <w:tcPr>
            <w:tcW w:type="dxa" w:w="1569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Issue rating</w:t>
            </w:r>
          </w:p>
        </w:tc>
        <w:tc>
          <w:tcPr>
            <w:tcW w:type="dxa" w:w="2353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Note</w:t>
            </w:r>
          </w:p>
        </w:tc>
      </w:tr>
      <w:tr>
        <w:tc>
          <w:tcPr>
            <w:tcW w:type="dxa" w:w="1513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XS2922133363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Artea bankas 8.75% AT1</w:t>
            </w:r>
          </w:p>
        </w:tc>
        <w:tc>
          <w:tcPr>
            <w:tcW w:type="dxa" w:w="841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8.75%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perpetual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no separate rating found</w:t>
            </w:r>
          </w:p>
        </w:tc>
        <w:tc>
          <w:tcPr>
            <w:tcW w:type="dxa" w:w="2353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Additional Tier 1 (perpetual); issuer table shows end date 2029-10-17</w:t>
            </w:r>
          </w:p>
        </w:tc>
      </w:tr>
      <w:tr>
        <w:tc>
          <w:tcPr>
            <w:tcW w:type="dxa" w:w="1513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XS2887816564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Artea bankas 4.85% senior preferred 2028</w:t>
            </w:r>
          </w:p>
        </w:tc>
        <w:tc>
          <w:tcPr>
            <w:tcW w:type="dxa" w:w="841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4.853%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2028-12-05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no separate rating found</w:t>
            </w:r>
          </w:p>
        </w:tc>
        <w:tc>
          <w:tcPr>
            <w:tcW w:type="dxa" w:w="2353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Senior preferred</w:t>
            </w:r>
          </w:p>
        </w:tc>
      </w:tr>
      <w:tr>
        <w:tc>
          <w:tcPr>
            <w:tcW w:type="dxa" w:w="1513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XS3025213102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Artea bankas 4.60% senior preferred 2030</w:t>
            </w:r>
          </w:p>
        </w:tc>
        <w:tc>
          <w:tcPr>
            <w:tcW w:type="dxa" w:w="841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4.597%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2030-06-25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no separate rating found</w:t>
            </w:r>
          </w:p>
        </w:tc>
        <w:tc>
          <w:tcPr>
            <w:tcW w:type="dxa" w:w="2353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Senior preferred</w:t>
            </w:r>
          </w:p>
        </w:tc>
      </w:tr>
      <w:tr>
        <w:tc>
          <w:tcPr>
            <w:tcW w:type="dxa" w:w="1513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LT0000407751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Artea bankas 10.75% subordinated 2033</w:t>
            </w:r>
          </w:p>
        </w:tc>
        <w:tc>
          <w:tcPr>
            <w:tcW w:type="dxa" w:w="841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10.75%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2033-06-22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no separate rating found</w:t>
            </w:r>
          </w:p>
        </w:tc>
        <w:tc>
          <w:tcPr>
            <w:tcW w:type="dxa" w:w="2353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Subordinated</w:t>
            </w:r>
          </w:p>
        </w:tc>
      </w:tr>
      <w:tr>
        <w:tc>
          <w:tcPr>
            <w:tcW w:type="dxa" w:w="1513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XS3191554495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Artea bankas 3.74% senior preferred 2029</w:t>
            </w:r>
          </w:p>
        </w:tc>
        <w:tc>
          <w:tcPr>
            <w:tcW w:type="dxa" w:w="841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3.739%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2029-07-10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no separate rating found</w:t>
            </w:r>
          </w:p>
        </w:tc>
        <w:tc>
          <w:tcPr>
            <w:tcW w:type="dxa" w:w="2353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Senior preferred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03</w:t>
        <w:tab/>
      </w:r>
      <w:r>
        <w:rPr>
          <w:b/>
          <w:color w:val="1F4E79"/>
          <w:sz w:val="28"/>
        </w:rPr>
        <w:t>Key ratios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864"/>
        <w:gridCol w:w="1156"/>
        <w:gridCol w:w="1156"/>
        <w:gridCol w:w="1156"/>
        <w:gridCol w:w="1156"/>
        <w:gridCol w:w="2148"/>
      </w:tblGrid>
      <w:tr>
        <w:tc>
          <w:tcPr>
            <w:tcW w:type="dxa" w:w="2864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Metric</w:t>
            </w:r>
          </w:p>
        </w:tc>
        <w:tc>
          <w:tcPr>
            <w:tcW w:type="dxa" w:w="1157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1F4E79"/>
                <w:sz w:val="16"/>
              </w:rPr>
              <w:t>FY2024</w:t>
            </w:r>
          </w:p>
        </w:tc>
        <w:tc>
          <w:tcPr>
            <w:tcW w:type="dxa" w:w="1157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1F4E79"/>
                <w:sz w:val="16"/>
              </w:rPr>
              <w:t>FY2025</w:t>
            </w:r>
          </w:p>
        </w:tc>
        <w:tc>
          <w:tcPr>
            <w:tcW w:type="dxa" w:w="1157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1F4E79"/>
                <w:sz w:val="16"/>
              </w:rPr>
              <w:t>6M2025</w:t>
            </w:r>
          </w:p>
        </w:tc>
        <w:tc>
          <w:tcPr>
            <w:tcW w:type="dxa" w:w="1157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1F4E79"/>
                <w:sz w:val="16"/>
              </w:rPr>
              <w:t>6M2026</w:t>
            </w:r>
          </w:p>
        </w:tc>
        <w:tc>
          <w:tcPr>
            <w:tcW w:type="dxa" w:w="2148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1F4E79"/>
                <w:sz w:val="16"/>
              </w:rPr>
              <w:t>Change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 profit, EUR m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78.8*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60.7*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31.9*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23.2*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27.3 %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 interest income, EUR m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160.2*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138.3*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68.4*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72.5*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6.0 %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Total operating income, EUR m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203.0*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189.8*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95.8*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94.0*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1.9 %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Cost/income ratio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47.1%*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58.8%*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55.2%*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  <w:shd w:val="clear" w:color="auto" w:fill="FDF1D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56.8%*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▲ 1.6 p. p.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ROE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14.0%*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10.4%*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11.1%*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  <w:shd w:val="clear" w:color="auto" w:fill="FDE7E5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7.8%*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3.3 p. p.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Cost of risk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0.35%*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0.13%*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0.24%*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0.01%*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▼ 0.23 p. p.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 interest margin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2">
              <w:r>
                <w:rPr>
                  <w:color w:val="2A78D6"/>
                  <w:vertAlign w:val="superscript"/>
                  <w:sz w:val="14"/>
                </w:rPr>
                <w:t xml:space="preserve">1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3.7%*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2.6%*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2.9%*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2.4%*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0.5 p. p.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Loans to customers, EUR m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3,763*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4,012*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6.6 %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Customer deposits, EUR m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13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3,397*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3,961*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4,061*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2.5 %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Total capital ratio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24.38%*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21.15%*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21.5%*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0.35 p. p.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MREL (% of TREA)</w:t>
            </w:r>
            <w:hyperlink r:id="rId22">
              <w:r>
                <w:rPr>
                  <w:color w:val="2A78D6"/>
                  <w:vertAlign w:val="superscript"/>
                  <w:sz w:val="14"/>
                </w:rPr>
                <w:t xml:space="preserve">14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2">
              <w:r>
                <w:rPr>
                  <w:color w:val="2A78D6"/>
                  <w:vertAlign w:val="superscript"/>
                  <w:sz w:val="14"/>
                </w:rPr>
                <w:t xml:space="preserve">1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22.73%*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23.59%*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0.86 p. p.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LCR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208%*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179%*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29 p. p.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NPL ratio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2.79%ᶜ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  <w:shd w:val="clear" w:color="auto" w:fill="FDF1D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2.42%ᶜ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▼ 0.37 p. p.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Dividend per share, EUR</w:t>
            </w:r>
            <w:hyperlink r:id="rId23">
              <w:r>
                <w:rPr>
                  <w:color w:val="2A78D6"/>
                  <w:vertAlign w:val="superscript"/>
                  <w:sz w:val="14"/>
                </w:rPr>
                <w:t xml:space="preserve">15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0.061*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0.047*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23.0 % vs FY2024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5F6B7A"/>
          <w:sz w:val="16"/>
        </w:rPr>
        <w:t>Colours: green change – the metric is improving, red – worsening. Latest-period cell background: green – good level, amber – average, red – weak (tool benchmarks, config/metric_rules.yaml).</w:t>
      </w:r>
    </w:p>
    <w:p>
      <w:pPr>
        <w:spacing w:before="40" w:after="60"/>
      </w:pPr>
      <w:r>
        <w:rPr>
          <w:b w:val="0"/>
          <w:color w:val="5F6B7A"/>
          <w:sz w:val="16"/>
        </w:rPr>
        <w:t>* – taken from the report summary;  ᶜ – calculated by the tool. Small numbers next to text link to the source (opens the document at the cited page).</w:t>
      </w:r>
    </w:p>
    <w:p>
      <w:r>
        <w:drawing>
          <wp:inline xmlns:a="http://schemas.openxmlformats.org/drawingml/2006/main" xmlns:pic="http://schemas.openxmlformats.org/drawingml/2006/picture">
            <wp:extent cx="6120000" cy="17138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ea_e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13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04</w:t>
        <w:tab/>
      </w:r>
      <w:r>
        <w:rPr>
          <w:b/>
          <w:color w:val="1F4E79"/>
          <w:sz w:val="28"/>
        </w:rPr>
        <w:t>Business performance review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Loans grew 8% year on year to over EUR 3.9bn; deposits EUR 4,061m (+15%)</w:t>
      </w:r>
      <w:hyperlink r:id="rId13">
        <w:r>
          <w:rPr>
            <w:color w:val="2A78D6"/>
            <w:vertAlign w:val="superscript"/>
            <w:sz w:val="17"/>
          </w:rPr>
          <w:t xml:space="preserve">16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Net interest margin 2.4% (2.9% a year ago), falling with lower interest rates</w:t>
      </w:r>
      <w:hyperlink r:id="rId12">
        <w:r>
          <w:rPr>
            <w:color w:val="2A78D6"/>
            <w:vertAlign w:val="superscript"/>
            <w:sz w:val="17"/>
          </w:rPr>
          <w:t xml:space="preserve">1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The core banking system replacement is under way; in 2025 the bank rebranded as Artea</w:t>
      </w:r>
      <w:hyperlink r:id="rId15">
        <w:r>
          <w:rPr>
            <w:color w:val="2A78D6"/>
            <w:vertAlign w:val="superscript"/>
            <w:sz w:val="17"/>
          </w:rPr>
          <w:t xml:space="preserve">17</w:t>
        </w:r>
      </w:hyperlink>
      <w:r>
        <w:rPr>
          <w:b w:val="0"/>
        </w:rPr>
        <w:t>.</w:t>
      </w: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05</w:t>
        <w:tab/>
      </w:r>
      <w:r>
        <w:rPr>
          <w:b/>
          <w:color w:val="1F4E79"/>
          <w:sz w:val="28"/>
        </w:rPr>
        <w:t>Financials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FY2025 net profit EUR 60.7m (2024:</w:t>
      </w:r>
      <w:r>
        <w:rPr>
          <w:b w:val="0"/>
        </w:rPr>
        <w:t xml:space="preserve"> 78.8m), ROE 10.4% (14.0%); net interest income EUR 138.3m (−14%)</w:t>
      </w:r>
      <w:hyperlink r:id="rId15">
        <w:r>
          <w:rPr>
            <w:color w:val="2A78D6"/>
            <w:vertAlign w:val="superscript"/>
            <w:sz w:val="17"/>
          </w:rPr>
          <w:t xml:space="preserve">18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Total capital ratio 21.5% (YE2025 21.15%), MREL 23.59% of TREA, LCR 179%</w:t>
      </w:r>
      <w:hyperlink r:id="rId13">
        <w:r>
          <w:rPr>
            <w:color w:val="2A78D6"/>
            <w:vertAlign w:val="superscript"/>
            <w:sz w:val="17"/>
          </w:rPr>
          <w:t xml:space="preserve">3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Dividend for 2025 EUR 0.047 per share (EUR 30.4m), for 2024 EUR 0.061; a share buyback (EUR 2.6m) was completed in January 2026</w:t>
      </w:r>
      <w:hyperlink r:id="rId23">
        <w:r>
          <w:rPr>
            <w:color w:val="2A78D6"/>
            <w:vertAlign w:val="superscript"/>
            <w:sz w:val="17"/>
          </w:rPr>
          <w:t xml:space="preserve">19</w:t>
        </w:r>
      </w:hyperlink>
      <w:r>
        <w:rPr>
          <w:b w:val="0"/>
        </w:rPr>
        <w:t>.</w:t>
      </w: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06</w:t>
        <w:tab/>
      </w:r>
      <w:r>
        <w:rPr>
          <w:b/>
          <w:color w:val="1F4E79"/>
          <w:sz w:val="28"/>
        </w:rPr>
        <w:t>Past plans vs outcomes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577"/>
        <w:gridCol w:w="2577"/>
        <w:gridCol w:w="3138"/>
        <w:gridCol w:w="1344"/>
      </w:tblGrid>
      <w:tr>
        <w:tc>
          <w:tcPr>
            <w:tcW w:type="dxa" w:w="2578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Plan / target</w:t>
            </w:r>
          </w:p>
        </w:tc>
        <w:tc>
          <w:tcPr>
            <w:tcW w:type="dxa" w:w="2578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Outcome</w:t>
            </w:r>
          </w:p>
        </w:tc>
        <w:tc>
          <w:tcPr>
            <w:tcW w:type="dxa" w:w="3138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What changed and why</w:t>
            </w:r>
          </w:p>
        </w:tc>
        <w:tc>
          <w:tcPr>
            <w:tcW w:type="dxa" w:w="1345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Status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Strategy 2026-2028: become the best bank in Lithuania by 2029; long-term ROE &gt;17%, total shareholder return &gt;20%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6M 2026 ROE 7.8%</w:t>
            </w:r>
            <w:hyperlink r:id="rId25">
              <w:r>
                <w:rPr>
                  <w:color w:val="2A78D6"/>
                  <w:vertAlign w:val="superscript"/>
                  <w:sz w:val="14"/>
                </w:rPr>
                <w:t xml:space="preserve">20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6">
              <w:r>
                <w:rPr>
                  <w:color w:val="2A78D6"/>
                  <w:vertAlign w:val="superscript"/>
                  <w:sz w:val="14"/>
                </w:rPr>
                <w:t xml:space="preserve">21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Still far from the target: the margin is falling and costs are up (core system change, rebranding)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DDE3EA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In progress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Dividends at least 50% of prior-year profit; for 2025 up to 70% proposed (50% dividends, up to 20% buybacks)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52.2% of 2025 profit paid as dividends</w:t>
            </w:r>
            <w:hyperlink r:id="rId27">
              <w:r>
                <w:rPr>
                  <w:color w:val="2A78D6"/>
                  <w:vertAlign w:val="superscript"/>
                  <w:sz w:val="14"/>
                </w:rPr>
                <w:t xml:space="preserve">22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17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3">
              <w:r>
                <w:rPr>
                  <w:color w:val="2A78D6"/>
                  <w:vertAlign w:val="superscript"/>
                  <w:sz w:val="14"/>
                </w:rPr>
                <w:t xml:space="preserve">15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Met</w:t>
            </w:r>
            <w:hyperlink r:id="rId23">
              <w:r>
                <w:rPr>
                  <w:color w:val="2A78D6"/>
                  <w:vertAlign w:val="superscript"/>
                  <w:sz w:val="14"/>
                </w:rPr>
                <w:t xml:space="preserve">15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DDE3EA" w:space="0"/>
              <w:right w:val="nil"/>
            </w:tcBorders>
            <w:shd w:val="clear" w:color="auto" w:fill="E3F3E8"/>
          </w:tcPr>
          <w:p>
            <w:pPr>
              <w:spacing w:before="0" w:after="0"/>
            </w:pPr>
            <w:r>
              <w:rPr>
                <w:b/>
                <w:sz w:val="17"/>
              </w:rPr>
              <w:t>Met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2026: about 15% corporate loan portfolio growth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Total loans +8% year on year (1H)</w:t>
            </w:r>
            <w:hyperlink r:id="rId28">
              <w:r>
                <w:rPr>
                  <w:color w:val="2A78D6"/>
                  <w:vertAlign w:val="superscript"/>
                  <w:sz w:val="14"/>
                </w:rPr>
                <w:t xml:space="preserve">23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In progress; corporate loan growth is not shown separately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DDE3EA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In progress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07</w:t>
        <w:tab/>
      </w:r>
      <w:r>
        <w:rPr>
          <w:b/>
          <w:color w:val="1F4E79"/>
          <w:sz w:val="28"/>
        </w:rPr>
        <w:t>Investor information &amp; conclusions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Instruments held:</w:t>
      </w:r>
      <w:r>
        <w:rPr>
          <w:b w:val="0"/>
        </w:rPr>
        <w:t xml:space="preserve"> three EUR 300m senior preferred bonds, 4.85% due 2028-12-05, 3.74% due 2029-07-10 and 4.60% due 2030-06-25; a 10.75% subordinated bond due 2033 (EUR 50m); and an 8.75% AT1 (EUR 50m, date in the issuer table 2029-10-17)</w:t>
      </w:r>
      <w:hyperlink r:id="rId27">
        <w:r>
          <w:rPr>
            <w:color w:val="2A78D6"/>
            <w:vertAlign w:val="superscript"/>
            <w:sz w:val="17"/>
          </w:rPr>
          <w:t xml:space="preserve">22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Rating:</w:t>
      </w:r>
      <w:r>
        <w:rPr>
          <w:b w:val="0"/>
        </w:rPr>
        <w:t xml:space="preserve"> senior debt Baa1 with a positive outlook, which is good news for all bonds held</w:t>
      </w:r>
      <w:hyperlink r:id="rId12">
        <w:r>
          <w:rPr>
            <w:color w:val="2A78D6"/>
            <w:vertAlign w:val="superscript"/>
            <w:sz w:val="17"/>
          </w:rPr>
          <w:t xml:space="preserve">1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For subordinated bonds and AT1:</w:t>
      </w:r>
      <w:r>
        <w:rPr>
          <w:b w:val="0"/>
        </w:rPr>
        <w:t xml:space="preserve"> total capital of 21.5% and MREL of 23.59% have headroom; no new bonds were issued in 1H 2026</w:t>
      </w:r>
      <w:hyperlink r:id="rId13">
        <w:r>
          <w:rPr>
            <w:color w:val="2A78D6"/>
            <w:vertAlign w:val="superscript"/>
            <w:sz w:val="17"/>
          </w:rPr>
          <w:t xml:space="preserve">24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Change of control:</w:t>
      </w:r>
      <w:r>
        <w:rPr>
          <w:b w:val="0"/>
        </w:rPr>
        <w:t xml:space="preserve"> if Tesonet gains control (ECB approval needed), the strategic owner changes; change-of-control terms of the bonds were not found in public sources</w:t>
      </w:r>
      <w:hyperlink r:id="rId12">
        <w:r>
          <w:rPr>
            <w:color w:val="2A78D6"/>
            <w:vertAlign w:val="superscript"/>
            <w:sz w:val="17"/>
          </w:rPr>
          <w:t xml:space="preserve">25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Conclusion:</w:t>
      </w:r>
      <w:r>
        <w:rPr>
          <w:b w:val="0"/>
        </w:rPr>
        <w:t xml:space="preserve"> profitability is declining, but capital, liquidity and loan quality are good and the rating has improved. 9M results are due on 2026-10-28.</w:t>
      </w: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08</w:t>
        <w:tab/>
      </w:r>
      <w:r>
        <w:rPr>
          <w:b/>
          <w:color w:val="1F4E79"/>
          <w:sz w:val="28"/>
        </w:rPr>
        <w:t>In the press</w:t>
      </w:r>
    </w:p>
    <w:p>
      <w:pPr>
        <w:spacing w:before="40" w:after="60"/>
      </w:pPr>
      <w:r>
        <w:rPr>
          <w:b w:val="0"/>
          <w:color w:val="5F6B7A"/>
          <w:sz w:val="18"/>
        </w:rPr>
        <w:t>Automatic news scan (Google News, LT), 2026-07-24 – 2026-10-22: 5 articles.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20"/>
        <w:gridCol w:w="1360"/>
        <w:gridCol w:w="7257"/>
      </w:tblGrid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A1A1A"/>
                <w:sz w:val="17"/>
              </w:rPr>
              <w:t>2026-10-08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OTHER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29">
              <w:r>
                <w:rPr>
                  <w:color w:val="1A1A1A"/>
                  <w:sz w:val="18"/>
                </w:rPr>
                <w:t xml:space="preserve">Artea bankas sumažino Lietuvos augimo prognozę ir prognozuoja 5,3 proc. kainų augimą</w:t>
              </w:r>
            </w:hyperlink>
            <w:r>
              <w:rPr>
                <w:b w:val="0"/>
                <w:color w:val="5F6B7A"/>
                <w:sz w:val="15"/>
              </w:rPr>
              <w:t xml:space="preserve">   Delfi  ·  4 more similar articles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09</w:t>
        <w:tab/>
      </w:r>
      <w:r>
        <w:rPr>
          <w:b/>
          <w:color w:val="1F4E79"/>
          <w:sz w:val="28"/>
        </w:rPr>
        <w:t>ESG report</w:t>
      </w:r>
    </w:p>
    <w:p>
      <w:pPr>
        <w:keepNext/>
        <w:shd w:val="clear" w:color="auto" w:fill="EAF1F8"/>
        <w:spacing w:before="200" w:after="80"/>
        <w:ind w:left="85"/>
      </w:pPr>
      <w:r>
        <w:rPr>
          <w:b/>
          <w:caps/>
          <w:color w:val="1F4E79"/>
          <w:sz w:val="19"/>
        </w:rPr>
        <w:t>Exclusionary screening (companies)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Yes, the company is not involved in excluded sectors: controversial and nuclear weapons, tobacco, gambling and restricted sectors in fossil fuel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The bank is not active in excluded sectors.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A responsible investment regulation is published</w:t>
            </w:r>
            <w:hyperlink r:id="rId30">
              <w:r>
                <w:rPr>
                  <w:color w:val="2A78D6"/>
                  <w:vertAlign w:val="superscript"/>
                  <w:sz w:val="15"/>
                </w:rPr>
                <w:t xml:space="preserve">26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Yes, the company does not have red flag/signal related to controversies based on UN Global Compact, OECD Guidelines for Multinational Enterprises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UN Global Compact or OECD related controversies found.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sanctions were imposed on the bank or group companies in 2025 or Q2 2026</w:t>
            </w:r>
            <w:hyperlink r:id="rId31">
              <w:r>
                <w:rPr>
                  <w:color w:val="2A78D6"/>
                  <w:vertAlign w:val="superscript"/>
                  <w:sz w:val="15"/>
                </w:rPr>
                <w:t xml:space="preserve">27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32">
              <w:r>
                <w:rPr>
                  <w:color w:val="2A78D6"/>
                  <w:vertAlign w:val="superscript"/>
                  <w:sz w:val="15"/>
                </w:rPr>
                <w:t xml:space="preserve">28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Yes, the company is not in the list of sanctions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Not found on the EU, UN, UK, US OFAC consolidated sanctions lists (automatic check 2026-10-22).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Yes, issues were not identified from adverse media checks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adverse news found (search in Lithuanian and English, 2026-10-22).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Most news is about Tesonet's share purchases and management changes.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News summary 2026-07-24 – 2026-10-22: 5 articles, 0 with an adverse keyword in the headline (details in the section "In the press").</w:t>
            </w:r>
          </w:p>
        </w:tc>
      </w:tr>
    </w:tbl>
    <w:p>
      <w:pPr>
        <w:spacing w:before="120" w:after="40"/>
      </w:pPr>
      <w:r>
        <w:rPr>
          <w:i/>
          <w:color w:val="333333"/>
          <w:sz w:val="18"/>
        </w:rPr>
        <w:t>In case any red flags, risks, unclarities were identified then additional checks (sanctions screening and adverse media checks) on the company’s Ultimate Beneficial Owners and/or senior management shall be performed.</w:t>
      </w:r>
    </w:p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AF1F8"/>
        <w:spacing w:before="200" w:after="80"/>
        <w:ind w:left="85"/>
      </w:pPr>
      <w:r>
        <w:rPr>
          <w:b/>
          <w:caps/>
          <w:color w:val="1F4E79"/>
          <w:sz w:val="19"/>
        </w:rPr>
        <w:t>ESG integration and positive screening (positive answers imply higher allocation)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Yes, the company is promoting environmental or social characteristics (activities, ESG policy, good ESG rating, etc)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Expanding sustainable financing is a 2026 priority</w:t>
            </w:r>
            <w:hyperlink r:id="rId28">
              <w:r>
                <w:rPr>
                  <w:color w:val="2A78D6"/>
                  <w:vertAlign w:val="superscript"/>
                  <w:sz w:val="15"/>
                </w:rPr>
                <w:t xml:space="preserve">23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The planned Artea Retrofit Fund 3 (EUR 625m) for building renovation</w:t>
            </w:r>
            <w:hyperlink r:id="rId25">
              <w:r>
                <w:rPr>
                  <w:color w:val="2A78D6"/>
                  <w:vertAlign w:val="superscript"/>
                  <w:sz w:val="15"/>
                </w:rPr>
                <w:t xml:space="preserve">20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Yes, the activities of the company or it’s strategy is aligned with the taxonomy and/or Paris agreement targets (e.g. net zero commitment)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Committed, together with the EU, to climate neutrality by 2050 in line with the Paris Agreement</w:t>
            </w:r>
            <w:hyperlink r:id="rId30">
              <w:r>
                <w:rPr>
                  <w:color w:val="2A78D6"/>
                  <w:vertAlign w:val="superscript"/>
                  <w:sz w:val="15"/>
                </w:rPr>
                <w:t xml:space="preserve">26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Yes, the company does not have yellow flag/signal related to controversies based on UN Global Compact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yellow flags found.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Yes, the company fulfills the expectations from SEB thematic and sector policies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Applicable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SEB sector policy for banks, so the Investments policy and the Environmental and Social &amp; Human Rights policies apply</w:t>
            </w:r>
            <w:hyperlink r:id="rId33">
              <w:r>
                <w:rPr>
                  <w:color w:val="2A78D6"/>
                  <w:vertAlign w:val="superscript"/>
                  <w:sz w:val="15"/>
                </w:rPr>
                <w:t xml:space="preserve">29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Met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AML procedures, whistleblowing channel, supplier code of conduct, responsible investment regulation</w:t>
            </w:r>
            <w:hyperlink r:id="rId30">
              <w:r>
                <w:rPr>
                  <w:color w:val="2A78D6"/>
                  <w:vertAlign w:val="superscript"/>
                  <w:sz w:val="15"/>
                </w:rPr>
                <w:t xml:space="preserve">26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sanctions imposed on the bank</w:t>
            </w:r>
            <w:hyperlink r:id="rId32">
              <w:r>
                <w:rPr>
                  <w:color w:val="2A78D6"/>
                  <w:vertAlign w:val="superscript"/>
                  <w:sz w:val="15"/>
                </w:rPr>
                <w:t xml:space="preserve">28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Could be improved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Financed emissions and interim climate targets not found publicly.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AF1F8"/>
        <w:spacing w:before="200" w:after="80"/>
        <w:ind w:left="85"/>
      </w:pPr>
      <w:r>
        <w:rPr>
          <w:b/>
          <w:caps/>
          <w:color w:val="1F4E79"/>
          <w:sz w:val="19"/>
        </w:rPr>
        <w:t>Engagement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9AA5B1"/>
                <w:sz w:val="24"/>
              </w:rPr>
              <w:t>☐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Is there a need for pro-active engagement with the company?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need: capital and loan quality are good and ESG practice is in order.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AF1F8"/>
        <w:spacing w:before="200" w:after="80"/>
        <w:ind w:left="85"/>
      </w:pPr>
      <w:r>
        <w:rPr>
          <w:b/>
          <w:caps/>
          <w:color w:val="1F4E79"/>
          <w:sz w:val="19"/>
        </w:rPr>
        <w:t>Indicators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Yes, the indicators of the company support the targets of sustainability and PAI indicators followed by the Fund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Women make up 77.8% of group staff</w:t>
            </w:r>
            <w:hyperlink r:id="rId34">
              <w:r>
                <w:rPr>
                  <w:color w:val="2A78D6"/>
                  <w:vertAlign w:val="superscript"/>
                  <w:sz w:val="15"/>
                </w:rPr>
                <w:t xml:space="preserve">30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Climate neutrality target for 2050</w:t>
            </w:r>
            <w:hyperlink r:id="rId30">
              <w:r>
                <w:rPr>
                  <w:color w:val="2A78D6"/>
                  <w:vertAlign w:val="superscript"/>
                  <w:sz w:val="15"/>
                </w:rPr>
                <w:t xml:space="preserve">26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Included in the Bloomberg ESG Data and ESG Coverage indices</w:t>
            </w:r>
            <w:hyperlink r:id="rId23">
              <w:r>
                <w:rPr>
                  <w:color w:val="2A78D6"/>
                  <w:vertAlign w:val="superscript"/>
                  <w:sz w:val="15"/>
                </w:rPr>
                <w:t xml:space="preserve">15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spacing w:before="120" w:after="40"/>
      </w:pPr>
      <w:r>
        <w:rPr>
          <w:b/>
          <w:sz w:val="19"/>
        </w:rPr>
        <w:t xml:space="preserve">Conclusion: </w:t>
      </w:r>
      <w:r>
        <w:rPr>
          <w:b w:val="0"/>
          <w:sz w:val="19"/>
        </w:rPr>
        <w:t>No exclusions or red flags. Core ESG procedures are in place; little climate data is disclosed.</w:t>
      </w:r>
    </w:p>
    <w:p>
      <w:pPr>
        <w:spacing w:before="40" w:after="60"/>
      </w:pPr>
      <w:r>
        <w:rPr>
          <w:b w:val="0"/>
          <w:color w:val="5F6B7A"/>
          <w:sz w:val="16"/>
        </w:rPr>
        <w:t>SEB policies applied: Policy on Sustainability Considerations in Investments (SEB AB); Financial sector - no dedicated SEB sector policy (thematic policies applied); Environmental Policy on Climate, Nature and Water (thematic); Social and Human Rights Policy (thematic); Governance expectations in sector policies (anti-corruption, tax, reporting)</w:t>
      </w: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10</w:t>
        <w:tab/>
      </w:r>
      <w:r>
        <w:rPr>
          <w:b/>
          <w:color w:val="1F4E79"/>
          <w:sz w:val="28"/>
        </w:rPr>
        <w:t>Sources</w:t>
      </w:r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1.</w:t>
        <w:tab/>
      </w:r>
      <w:hyperlink r:id="rId12">
        <w:r>
          <w:rPr>
            <w:color w:val="2A78D6"/>
            <w:sz w:val="17"/>
          </w:rPr>
          <w:t xml:space="preserve">Artea bankas - Interim report 6M 2026 (reviewed), p. 7, 2026-08-26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2.</w:t>
        <w:tab/>
      </w:r>
      <w:hyperlink r:id="rId13">
        <w:r>
          <w:rPr>
            <w:color w:val="2A78D6"/>
            <w:sz w:val="17"/>
          </w:rPr>
          <w:t xml:space="preserve">Artea bankas - Interim report 6M 2026 (reviewed), p. 6, 2026-08-26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3.</w:t>
        <w:tab/>
      </w:r>
      <w:hyperlink r:id="rId13">
        <w:r>
          <w:rPr>
            <w:color w:val="2A78D6"/>
            <w:sz w:val="17"/>
          </w:rPr>
          <w:t xml:space="preserve">Artea bankas - Interim report 6M 2026 (reviewed), p. 6-7, 2026-08-26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4.</w:t>
        <w:tab/>
      </w:r>
      <w:hyperlink r:id="rId13">
        <w:r>
          <w:rPr>
            <w:color w:val="2A78D6"/>
            <w:sz w:val="17"/>
          </w:rPr>
          <w:t xml:space="preserve">Artea bankas - Interim report 6M 2026 (reviewed), p. 6, 24, 2026-08-26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5.</w:t>
        <w:tab/>
      </w:r>
      <w:hyperlink r:id="rId13">
        <w:r>
          <w:rPr>
            <w:color w:val="2A78D6"/>
            <w:sz w:val="17"/>
          </w:rPr>
          <w:t xml:space="preserve">Artea bankas - Interim report 6M 2026 (reviewed), p. 6-8, 2026-08-26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6.</w:t>
        <w:tab/>
      </w:r>
      <w:hyperlink r:id="rId14">
        <w:r>
          <w:rPr>
            <w:color w:val="2A78D6"/>
            <w:sz w:val="17"/>
          </w:rPr>
          <w:t xml:space="preserve">Artea bankas - FY2025 management report and unaudited financial statements, p. 17, 2026-02-25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7.</w:t>
        <w:tab/>
      </w:r>
      <w:hyperlink r:id="rId15">
        <w:r>
          <w:rPr>
            <w:color w:val="2A78D6"/>
            <w:sz w:val="17"/>
          </w:rPr>
          <w:t xml:space="preserve">Artea bankas - FY2025 management report and unaudited financial statements, p. 4, 2026-02-25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8.</w:t>
        <w:tab/>
      </w:r>
      <w:hyperlink r:id="rId16">
        <w:r>
          <w:rPr>
            <w:color w:val="2A78D6"/>
            <w:sz w:val="17"/>
          </w:rPr>
          <w:t xml:space="preserve">Artea bankas - Interim report 6M 2026 (reviewed), p. 18, 2026-08-26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9.</w:t>
        <w:tab/>
      </w:r>
      <w:hyperlink r:id="rId17">
        <w:r>
          <w:rPr>
            <w:color w:val="2A78D6"/>
            <w:sz w:val="17"/>
          </w:rPr>
          <w:t xml:space="preserve">Artea bankas - FY2025 management report and unaudited financial statements, p. 7, 2026-02-25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10.</w:t>
        <w:tab/>
      </w:r>
      <w:hyperlink r:id="rId18">
        <w:r>
          <w:rPr>
            <w:color w:val="2A78D6"/>
            <w:sz w:val="17"/>
          </w:rPr>
          <w:t xml:space="preserve">Artea bankas - Interim report 6M 2026 (reviewed), p. 23, 2026-08-26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11.</w:t>
        <w:tab/>
      </w:r>
      <w:hyperlink r:id="rId19">
        <w:r>
          <w:rPr>
            <w:color w:val="2A78D6"/>
            <w:sz w:val="17"/>
          </w:rPr>
          <w:t xml:space="preserve">Artea bankas - Interim report 6M 2026 (reviewed), p. 24, 2026-08-26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12.</w:t>
        <w:tab/>
      </w:r>
      <w:hyperlink r:id="rId20">
        <w:r>
          <w:rPr>
            <w:color w:val="2A78D6"/>
            <w:sz w:val="17"/>
          </w:rPr>
          <w:t xml:space="preserve">Artea bankas - Interim report 6M 2026 (reviewed), p. 16, 2026-08-26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13.</w:t>
        <w:tab/>
      </w:r>
      <w:hyperlink r:id="rId21">
        <w:r>
          <w:rPr>
            <w:color w:val="2A78D6"/>
            <w:sz w:val="17"/>
          </w:rPr>
          <w:t xml:space="preserve">Artea bankas - Interim report 6M 2026 (reviewed), p. 17, 2026-08-26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14.</w:t>
        <w:tab/>
      </w:r>
      <w:hyperlink r:id="rId22">
        <w:r>
          <w:rPr>
            <w:color w:val="2A78D6"/>
            <w:sz w:val="17"/>
          </w:rPr>
          <w:t xml:space="preserve">Artea bankas - FY2025 management report and unaudited financial statements, p. 5, 2026-02-25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15.</w:t>
        <w:tab/>
      </w:r>
      <w:hyperlink r:id="rId23">
        <w:r>
          <w:rPr>
            <w:color w:val="2A78D6"/>
            <w:sz w:val="17"/>
          </w:rPr>
          <w:t xml:space="preserve">Artea bankas - Interim report 6M 2026 (reviewed), p. 9, 2026-08-26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16.</w:t>
        <w:tab/>
      </w:r>
      <w:hyperlink r:id="rId13">
        <w:r>
          <w:rPr>
            <w:color w:val="2A78D6"/>
            <w:sz w:val="17"/>
          </w:rPr>
          <w:t xml:space="preserve">Artea bankas - Interim report 6M 2026 (reviewed), p. 6, 17, 2026-08-26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17.</w:t>
        <w:tab/>
      </w:r>
      <w:hyperlink r:id="rId15">
        <w:r>
          <w:rPr>
            <w:color w:val="2A78D6"/>
            <w:sz w:val="17"/>
          </w:rPr>
          <w:t xml:space="preserve">Artea bankas - FY2025 management report and unaudited financial statements, p. 4-5, 2026-02-25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18.</w:t>
        <w:tab/>
      </w:r>
      <w:hyperlink r:id="rId15">
        <w:r>
          <w:rPr>
            <w:color w:val="2A78D6"/>
            <w:sz w:val="17"/>
          </w:rPr>
          <w:t xml:space="preserve">Artea bankas - FY2025 management report and unaudited financial statements, p. 4, 7, 17, 2026-02-25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19.</w:t>
        <w:tab/>
      </w:r>
      <w:hyperlink r:id="rId23">
        <w:r>
          <w:rPr>
            <w:color w:val="2A78D6"/>
            <w:sz w:val="17"/>
          </w:rPr>
          <w:t xml:space="preserve">Artea bankas - Interim report 6M 2026 (reviewed), p. 9, 29, 2026-08-26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20.</w:t>
        <w:tab/>
      </w:r>
      <w:hyperlink r:id="rId25">
        <w:r>
          <w:rPr>
            <w:color w:val="2A78D6"/>
            <w:sz w:val="17"/>
          </w:rPr>
          <w:t xml:space="preserve">Artea bankas - FY2025 management report and unaudited financial statements, p. 6, 2026-02-25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21.</w:t>
        <w:tab/>
      </w:r>
      <w:hyperlink r:id="rId26">
        <w:r>
          <w:rPr>
            <w:color w:val="2A78D6"/>
            <w:sz w:val="17"/>
          </w:rPr>
          <w:t xml:space="preserve">Artea bankas - Annual report 2025 (LT), p. 6,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22.</w:t>
        <w:tab/>
      </w:r>
      <w:hyperlink r:id="rId27">
        <w:r>
          <w:rPr>
            <w:color w:val="2A78D6"/>
            <w:sz w:val="17"/>
          </w:rPr>
          <w:t xml:space="preserve">Artea - Issued securities (bond list),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23.</w:t>
        <w:tab/>
      </w:r>
      <w:hyperlink r:id="rId28">
        <w:r>
          <w:rPr>
            <w:color w:val="2A78D6"/>
            <w:sz w:val="17"/>
          </w:rPr>
          <w:t xml:space="preserve">Artea bankas - Annual report 2025 (LT), p. 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24.</w:t>
        <w:tab/>
      </w:r>
      <w:hyperlink r:id="rId13">
        <w:r>
          <w:rPr>
            <w:color w:val="2A78D6"/>
            <w:sz w:val="17"/>
          </w:rPr>
          <w:t xml:space="preserve">Artea bankas - Interim report 6M 2026 (reviewed), p. 6-7, 22, 2026-08-26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25.</w:t>
        <w:tab/>
      </w:r>
      <w:hyperlink r:id="rId12">
        <w:r>
          <w:rPr>
            <w:color w:val="2A78D6"/>
            <w:sz w:val="17"/>
          </w:rPr>
          <w:t xml:space="preserve">Artea bankas - Interim report 6M 2026 (reviewed), p. 7-8, 2026-08-26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26.</w:t>
        <w:tab/>
      </w:r>
      <w:hyperlink r:id="rId30">
        <w:r>
          <w:rPr>
            <w:color w:val="2A78D6"/>
            <w:sz w:val="17"/>
          </w:rPr>
          <w:t xml:space="preserve">Artea - Sustainability / ESG risk information,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27.</w:t>
        <w:tab/>
      </w:r>
      <w:hyperlink r:id="rId31">
        <w:r>
          <w:rPr>
            <w:color w:val="2A78D6"/>
            <w:sz w:val="17"/>
          </w:rPr>
          <w:t xml:space="preserve">Artea bankas - FY2025 management report and unaudited financial statements, p. 13, 2026-02-25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28.</w:t>
        <w:tab/>
      </w:r>
      <w:hyperlink r:id="rId32">
        <w:r>
          <w:rPr>
            <w:color w:val="2A78D6"/>
            <w:sz w:val="17"/>
          </w:rPr>
          <w:t xml:space="preserve">Artea bankas - Interim report 6M 2026 (reviewed), p. 14, 2026-08-26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29.</w:t>
        <w:tab/>
      </w:r>
      <w:hyperlink r:id="rId33">
        <w:r>
          <w:rPr>
            <w:color w:val="2A78D6"/>
            <w:sz w:val="17"/>
          </w:rPr>
          <w:t xml:space="preserve">SEB Policy on Sustainability Considerations in Investments (2026-04-15), p. 5, 7, 2026-04-15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30.</w:t>
        <w:tab/>
      </w:r>
      <w:hyperlink r:id="rId34">
        <w:r>
          <w:rPr>
            <w:color w:val="2A78D6"/>
            <w:sz w:val="17"/>
          </w:rPr>
          <w:t xml:space="preserve">Artea bankas - Interim report 6M 2026 (reviewed), p. 10, 2026-08-26</w:t>
        </w:r>
      </w:hyperlink>
    </w:p>
    <w:p>
      <w:pPr>
        <w:spacing w:before="40" w:after="60"/>
      </w:pPr>
      <w:r>
        <w:rPr>
          <w:b w:val="0"/>
          <w:color w:val="5F6B7A"/>
          <w:sz w:val="16"/>
        </w:rPr>
        <w:t>Report prepared from public sources. Figures are as published by the issuer; small numbers next to the text point to the source list.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20" w:right="1134" w:bottom="1020" w:left="1134" w:header="51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C9D3DE" w:space="4"/>
      </w:pBdr>
      <w:tabs>
        <w:tab w:pos="9638" w:val="right"/>
      </w:tabs>
    </w:pPr>
    <w:r>
      <w:rPr>
        <w:b w:val="0"/>
        <w:color w:val="5F6B7A"/>
        <w:sz w:val="16"/>
      </w:rPr>
      <w:t>Artea bankas · 6M2026 · 2026-10-22</w:t>
      <w:tab/>
    </w:r>
    <w:r>
      <w:rPr>
        <w:b/>
        <w:color w:val="1F4E79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C9D3DE" w:space="4"/>
      </w:pBdr>
      <w:tabs>
        <w:tab w:pos="9638" w:val="right"/>
      </w:tabs>
    </w:pPr>
    <w:r>
      <w:rPr>
        <w:b w:val="0"/>
        <w:color w:val="5F6B7A"/>
        <w:sz w:val="16"/>
      </w:rPr>
      <w:t>Artea bankas · 6M2026 · 2026-10-22</w:t>
      <w:tab/>
    </w:r>
    <w:r>
      <w:rPr>
        <w:b/>
        <w:color w:val="1F4E79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color="C9D3DE" w:space="4"/>
      </w:pBdr>
      <w:tabs>
        <w:tab w:pos="9638" w:val="right"/>
      </w:tabs>
    </w:pPr>
    <w:r>
      <w:rPr>
        <w:b/>
        <w:color w:val="1F4E79"/>
        <w:sz w:val="16"/>
      </w:rPr>
      <w:t>Artea bankas</w:t>
    </w:r>
    <w:r>
      <w:rPr>
        <w:b w:val="0"/>
        <w:color w:val="5F6B7A"/>
        <w:sz w:val="16"/>
      </w:rPr>
      <w:tab/>
      <w:t>Issuer review · 6M2026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nasdaqbaltic.com/market/upload/reports/roe1/2026_q2_en_con_esef.pdf#page=7" TargetMode="External"/><Relationship Id="rId13" Type="http://schemas.openxmlformats.org/officeDocument/2006/relationships/hyperlink" Target="https://nasdaqbaltic.com/market/upload/reports/roe1/2026_q2_en_con_esef.pdf#page=6" TargetMode="External"/><Relationship Id="rId14" Type="http://schemas.openxmlformats.org/officeDocument/2006/relationships/hyperlink" Target="https://nasdaqbaltic.com/market/upload/reports/roe1/2025_q4_en_con.pdf#page=17" TargetMode="External"/><Relationship Id="rId15" Type="http://schemas.openxmlformats.org/officeDocument/2006/relationships/hyperlink" Target="https://nasdaqbaltic.com/market/upload/reports/roe1/2025_q4_en_con.pdf#page=4" TargetMode="External"/><Relationship Id="rId16" Type="http://schemas.openxmlformats.org/officeDocument/2006/relationships/hyperlink" Target="https://nasdaqbaltic.com/market/upload/reports/roe1/2026_q2_en_con_esef.pdf#page=18" TargetMode="External"/><Relationship Id="rId17" Type="http://schemas.openxmlformats.org/officeDocument/2006/relationships/hyperlink" Target="https://nasdaqbaltic.com/market/upload/reports/roe1/2025_q4_en_con.pdf#page=7" TargetMode="External"/><Relationship Id="rId18" Type="http://schemas.openxmlformats.org/officeDocument/2006/relationships/hyperlink" Target="https://nasdaqbaltic.com/market/upload/reports/roe1/2026_q2_en_con_esef.pdf#page=23" TargetMode="External"/><Relationship Id="rId19" Type="http://schemas.openxmlformats.org/officeDocument/2006/relationships/hyperlink" Target="https://nasdaqbaltic.com/market/upload/reports/roe1/2026_q2_en_con_esef.pdf#page=24" TargetMode="External"/><Relationship Id="rId20" Type="http://schemas.openxmlformats.org/officeDocument/2006/relationships/hyperlink" Target="https://nasdaqbaltic.com/market/upload/reports/roe1/2026_q2_en_con_esef.pdf#page=16" TargetMode="External"/><Relationship Id="rId21" Type="http://schemas.openxmlformats.org/officeDocument/2006/relationships/hyperlink" Target="https://nasdaqbaltic.com/market/upload/reports/roe1/2026_q2_en_con_esef.pdf#page=17" TargetMode="External"/><Relationship Id="rId22" Type="http://schemas.openxmlformats.org/officeDocument/2006/relationships/hyperlink" Target="https://nasdaqbaltic.com/market/upload/reports/roe1/2025_q4_en_con.pdf#page=5" TargetMode="External"/><Relationship Id="rId23" Type="http://schemas.openxmlformats.org/officeDocument/2006/relationships/hyperlink" Target="https://nasdaqbaltic.com/market/upload/reports/roe1/2026_q2_en_con_esef.pdf#page=9" TargetMode="External"/><Relationship Id="rId24" Type="http://schemas.openxmlformats.org/officeDocument/2006/relationships/image" Target="media/image1.png"/><Relationship Id="rId25" Type="http://schemas.openxmlformats.org/officeDocument/2006/relationships/hyperlink" Target="https://nasdaqbaltic.com/market/upload/reports/roe1/2025_q4_en_con.pdf#page=6" TargetMode="External"/><Relationship Id="rId26" Type="http://schemas.openxmlformats.org/officeDocument/2006/relationships/hyperlink" Target="https://cdn.artea.lt/mainweb/uploads/media/69cbc6f608b68/annual-report-2025-lt-final.pdf#page=6" TargetMode="External"/><Relationship Id="rId27" Type="http://schemas.openxmlformats.org/officeDocument/2006/relationships/hyperlink" Target="https://www.artea.lt/lt/banko-investuotojams/vertybiniai-popieriai" TargetMode="External"/><Relationship Id="rId28" Type="http://schemas.openxmlformats.org/officeDocument/2006/relationships/hyperlink" Target="https://cdn.artea.lt/mainweb/uploads/media/69cbc6f608b68/annual-report-2025-lt-final.pdf#page=8" TargetMode="External"/><Relationship Id="rId29" Type="http://schemas.openxmlformats.org/officeDocument/2006/relationships/hyperlink" Target="https://news.google.com/rss/articles/CBMi1gFBVV95cUxPMVRmRnRCVGctSF9oZ0xnM0dIWVVPa0FxZnQzT2NOZUJGbVdhX1ZwMzJzSHI1TFctaDNfUTUwdTlTaEMxcWdhSGxKTjRkQms1a0tpTFhROFptSFBaMzZYblVMX1JnV0FwQmxqLVE0RnZ1Mk9tbDBMVXYtTjZyQk5pQ2FCXzRsUl8zdXFCUFNMM0UtSF9ielUycDZtcEpPTG52OEZhei11RVkydDdjQ0czN0F1MmJvU1pkcmFpcmgwYjducjB0ZlExUFpGdEUwVWY5V0E1NTJR?oc=5" TargetMode="External"/><Relationship Id="rId30" Type="http://schemas.openxmlformats.org/officeDocument/2006/relationships/hyperlink" Target="https://www.artea.lt/lt/apie/tvarumas/banko-tvarumo-informacija" TargetMode="External"/><Relationship Id="rId31" Type="http://schemas.openxmlformats.org/officeDocument/2006/relationships/hyperlink" Target="https://nasdaqbaltic.com/market/upload/reports/roe1/2025_q4_en_con.pdf#page=13" TargetMode="External"/><Relationship Id="rId32" Type="http://schemas.openxmlformats.org/officeDocument/2006/relationships/hyperlink" Target="https://nasdaqbaltic.com/market/upload/reports/roe1/2026_q2_en_con_esef.pdf#page=14" TargetMode="External"/><Relationship Id="rId33" Type="http://schemas.openxmlformats.org/officeDocument/2006/relationships/hyperlink" Target="https://sebgroup.com/sustainability/our-sustainability-strategy/policies" TargetMode="External"/><Relationship Id="rId34" Type="http://schemas.openxmlformats.org/officeDocument/2006/relationships/hyperlink" Target="https://nasdaqbaltic.com/market/upload/reports/roe1/2026_q2_en_con_esef.pdf#page=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