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Artea bankas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Moody's (2026-04-21): long-term deposits upgraded to A3, senior unsecured Baa1 affirmed, outlook changed from stable to positive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9M 2026 interim report - 2026-10-28</w:t>
            </w:r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Pozicija tvarkinga, tačiau pelnas mažėja.</w:t>
            </w:r>
            <w:r>
              <w:rPr>
                <w:b w:val="0"/>
                <w:color w:val="1A1A1A"/>
                <w:sz w:val="21"/>
              </w:rPr>
              <w:t xml:space="preserve"> I pusm. pelnas 23,2 mln. EUR, prieš metus 31,9 mln.; ROE 7,8 %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Kapitalas (21,5 %) ir likvidumas (LCR 179 %) – su atsarga, o Moody's 2026 m. balandį reitingą pagerino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Grynasis pelnas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23,2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27,3 %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ROE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7,8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3,3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Bendrasis kapitalo rodiklis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21,5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0,35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LCR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179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29 p. p. vs FY2025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mažesnis:</w:t>
      </w:r>
      <w:r>
        <w:rPr>
          <w:b w:val="0"/>
        </w:rPr>
        <w:t xml:space="preserve"> I pusm. grynasis pelnas 23,2 mln. EUR (prieš metus 31,9 mln.), ROE 7,8 % (11,1 %). Palūkanų pajamos išaugo 6 % iki 72,5 mln. EUR, bet sąnaudos augo greičiau: sąnaudų / pajamų santykis 56,8 %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Paskolų kokybė gera:</w:t>
      </w:r>
      <w:r>
        <w:rPr>
          <w:b w:val="0"/>
        </w:rPr>
        <w:t xml:space="preserve"> rizikos kaina 0,01 % (0,24 %), trečios stadijos paskolos 2,4 % (apskaičiuota įrankio)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 pagerėjo:</w:t>
      </w:r>
      <w:r>
        <w:rPr>
          <w:b w:val="0"/>
        </w:rPr>
        <w:t xml:space="preserve"> 2026-04-21 Moody's indėlių reitingą pakėlė iki A3, pirmaeilės skolos reitingas Baa1, perspektyva – teigiama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Keičiasi akcininkai ir vadovybė:</w:t>
      </w:r>
      <w:r>
        <w:rPr>
          <w:b w:val="0"/>
        </w:rPr>
        <w:t xml:space="preserve"> Tesonet Global ketina padidinti dalį iki 31,68 % ir siekti kontrolės (ECB leidimas, iki 2027 m. I ketv.); laikinai einančiu vadovo pareigas paskirtas Tomas Varenbergas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513"/>
        <w:gridCol w:w="2241"/>
        <w:gridCol w:w="840"/>
        <w:gridCol w:w="1120"/>
        <w:gridCol w:w="1569"/>
        <w:gridCol w:w="2353"/>
      </w:tblGrid>
      <w:tr>
        <w:tc>
          <w:tcPr>
            <w:tcW w:type="dxa" w:w="151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2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Priemonė</w:t>
            </w:r>
          </w:p>
        </w:tc>
        <w:tc>
          <w:tcPr>
            <w:tcW w:type="dxa" w:w="8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Kuponas</w:t>
            </w:r>
          </w:p>
        </w:tc>
        <w:tc>
          <w:tcPr>
            <w:tcW w:type="dxa" w:w="112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Išpirkimas</w:t>
            </w:r>
          </w:p>
        </w:tc>
        <w:tc>
          <w:tcPr>
            <w:tcW w:type="dxa" w:w="1569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Emisijos reitingas</w:t>
            </w:r>
          </w:p>
        </w:tc>
        <w:tc>
          <w:tcPr>
            <w:tcW w:type="dxa" w:w="235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Pastaba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XS2922133363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8.75% AT1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 (perpetual); issuer table shows end date 2029-10-17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XS2887816564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4.85% senior preferred 2028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4,853 %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XS3025213102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4.60% senior preferred 2030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4,597 %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2030-06-25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LT0000407751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10.75% subordinated 2033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2033-06-22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XS3191554495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3.74% senior preferred 2029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3,739 %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Rodiklis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27,3 %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160,2*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203,0*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189,8*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95,8*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56,8 %*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1,6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0,35 %*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0,13 %*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0,24 %*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0,01 %*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0,23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3 763*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4 012*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6,6 %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3 397*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3 961*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4 061*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24,38 %*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21,15 %*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21,5 %*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22,73 %*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23,59 %*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29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2,79 %ᶜ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2,42 %ᶜ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0,37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akcijai,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0,047*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23,0 %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ea_l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Paskolos augo 8 % per metus ir viršijo 3,9 mlrd. EUR; indėliai – 4 061 mln. EUR (+15 %)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Grynoji palūkanų marža 2,4 % (prieš metus 2,9 %) – mažėja dėl žemesnių palūkanų normų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Vyksta pagrindinės bankinės sistemos keitimas; 2025 m. bankas pakeitė pavadinimą į „Artea“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60,7 mln. EUR (2024 m. – 78,8 mln.), ROE 10,4 % (14,0 %); grynosios palūkanų pajamos 138,3 mln. EUR (−14 %)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Bendras kapitalo rodiklis 21,5 % (2025 m. pab. 21,15 %), MREL 23,59 % TREA, LCR 179 %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Dividendai už 2025 m. – 0,047 EUR akcijai (30,4 mln. EUR), už 2024 m. – 0,061 EUR; 2026 m. sausį baigtas akcijų supirkimas (2,6 mln. EUR)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Planas / tikslas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Rezultatas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Kas pasikeitė ir kodėl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2026–2028: tapti geriausiu banku Lietuvoje iki 2029 m.; ilgalaikis ROE &gt;17 %, bendra akcininkų grąža &gt;20 %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7,8 %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Kol kas toli nuo tikslo: mažėja palūkanų marža, didėja sąnaudos (sistemos keitimas, prekės ženklas)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– ne mažiau kaip 50 % praėjusių metų pelno; už 2025 m. siūlyta iki 70 % (50 % dividendais, iki 20 % supirkimui)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Už 2025 m. išmokėta 52,2 % pelno dividendais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– apie 15 % verslo paskolų portfelio augimas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paskolos +8 % per metus (I pusm.)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Vykdoma; verslo paskolų augimas atskirai nenurodytas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trys pirmaeilės privilegijuotos (senior preferred) obligacijos po 300 mln. EUR – 4,85 % 2028-12-05, 3,74 % 2029-07-10 ir 4,60 % 2030-06-25; subordinuota 10,75 % 2033 (50 mln. EUR); AT1 8,75 % (50 mln. EUR, emitento lentelėje data 2029-10-17)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Reitingas:</w:t>
      </w:r>
      <w:r>
        <w:rPr>
          <w:b w:val="0"/>
        </w:rPr>
        <w:t xml:space="preserve"> pirmaeilei skolai Baa1, perspektyva teigiama – tai teigiama žinia visoms turimoms obligacijoms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Subordinuotoms obligacijoms ir AT1:</w:t>
      </w:r>
      <w:r>
        <w:rPr>
          <w:b w:val="0"/>
        </w:rPr>
        <w:t xml:space="preserve"> bendras kapitalas 21,5 % ir MREL 23,59 % – su atsarga; 2026 m. I pusm. naujų obligacijų neišleista</w:t>
      </w:r>
      <w:hyperlink r:id="rId13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Kontrolės pasikeitimas:</w:t>
      </w:r>
      <w:r>
        <w:rPr>
          <w:b w:val="0"/>
        </w:rPr>
        <w:t xml:space="preserve"> jei Tesonet įgis kontrolę (reikia ECB leidimo), keisis strateginis savininkas; obligacijų sąlygos dėl kontrolės pasikeitimo viešai skelbtuose šaltiniuose nerastos</w:t>
      </w:r>
      <w:hyperlink r:id="rId12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mažėja, tačiau kapitalas, likvidumas ir paskolų kokybė – geri, o reitingas pagerėjo. 9M rezultatai bus paskelbti 2026-10-28.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Ką rašo spauda</w:t>
      </w:r>
    </w:p>
    <w:p>
      <w:pPr>
        <w:spacing w:before="40" w:after="60"/>
      </w:pPr>
      <w:r>
        <w:rPr>
          <w:b w:val="0"/>
          <w:color w:val="5F6B7A"/>
          <w:sz w:val="18"/>
        </w:rPr>
        <w:t>Automatinė naujienų paieška (Google News, LT), 2026-07-24 – 2026-10-22: 5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A1A1A"/>
                  <w:sz w:val="18"/>
                </w:rPr>
                <w:t xml:space="preserve">Artea bankas sumažino Lietuvos augimo prognozę ir prognozuoja 5,3 proc. kainų augimą</w:t>
              </w:r>
            </w:hyperlink>
            <w:r>
              <w:rPr>
                <w:b w:val="0"/>
                <w:color w:val="5F6B7A"/>
                <w:sz w:val="15"/>
              </w:rPr>
              <w:t xml:space="preserve">   Delfi  ·  dar 4 panašūs pranešimai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Atsakingo investavimo reglamentas skelbiamas viešai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2025 m. ir 2026 m. II ketv. bankui ir grupės įmonėms sankcijų netaikyta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(paieška lietuvių ir anglų k.,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Daugiausia naujienų – apie Tesonet akcijų įsigijimą ir vadovų pasikeitimus.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5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finansavimo plėtra – viena 2026 m. prioritetų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Planuojamas „Artea Retrofit Fund 3“ (625 mln. EUR) pastatų renovacijai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Įsipareigojimas kartu su ES siekti klimato neutralumo iki 2050 m. pagal Paryžiaus susitarimą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neturi bankų sektoriaus politikos, todėl taikoma investicijų politika bei aplinkosaugos ir socialinė / žmogaus teisių politikos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Pinigų plovimo prevencijos procedūros, pranešėjų kanalas, tiekėjų elgesio kodeksas, atsakingo investavimo reglamentas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Sankcijų bankui netaikyta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ir tarpiniai klimato tikslai viešai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kapitalas ir paskolų kokybė geri, ESG praktika tvarkinga.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grupės darbuotojų – 77,8 %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neutralumo tikslas 2050 m.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Bloomberg ESG Data ir ESG Coverage indeksų narys</w:t>
            </w:r>
            <w:hyperlink r:id="rId23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Pagrindinės ESG procedūros yra; klimato duomenų skelbiama nedaug.</w:t>
      </w:r>
    </w:p>
    <w:p>
      <w:pPr>
        <w:spacing w:before="40" w:after="60"/>
      </w:pPr>
      <w:r>
        <w:rPr>
          <w:b w:val="0"/>
          <w:color w:val="5F6B7A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Artea bankas - FY2025 management report and unaudited financial statements, p.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Artea bankas - Interim report 6M 2026 (reviewed), p. 18,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Artea bankas - FY2025 management report and unaudited financial statements, p. 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Artea bankas - Interim report 6M 2026 (reviewed), p. 23,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Artea bankas - Interim report 6M 2026 (reviewed), p.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Artea bankas - Interim report 6M 2026 (reviewed), p. 16,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Artea bankas - Interim report 6M 2026 (reviewed), p.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Artea bankas - FY2025 management report and unaudited financial statements, p. 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4-5,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7,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5">
        <w:r>
          <w:rPr>
            <w:color w:val="2A78D6"/>
            <w:sz w:val="17"/>
          </w:rPr>
          <w:t xml:space="preserve">Artea bankas - FY2025 management report and unaudited financial statements, p. 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Artea bankas - Annual report 2025 (LT),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Artea - Issued securities (bond list),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28">
        <w:r>
          <w:rPr>
            <w:color w:val="2A78D6"/>
            <w:sz w:val="17"/>
          </w:rPr>
          <w:t xml:space="preserve">Artea bankas - Annual report 2025 (LT),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22,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26.</w:t>
        <w:tab/>
      </w:r>
      <w:hyperlink r:id="rId30">
        <w:r>
          <w:rPr>
            <w:color w:val="2A78D6"/>
            <w:sz w:val="17"/>
          </w:rPr>
          <w:t xml:space="preserve">Artea - Sustainability / ESG risk information,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27.</w:t>
        <w:tab/>
      </w:r>
      <w:hyperlink r:id="rId31">
        <w:r>
          <w:rPr>
            <w:color w:val="2A78D6"/>
            <w:sz w:val="17"/>
          </w:rPr>
          <w:t xml:space="preserve">Artea bankas - FY2025 management report and unaudited financial statements, p. 13,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28.</w:t>
        <w:tab/>
      </w:r>
      <w:hyperlink r:id="rId32">
        <w:r>
          <w:rPr>
            <w:color w:val="2A78D6"/>
            <w:sz w:val="17"/>
          </w:rPr>
          <w:t xml:space="preserve">Artea bankas - Interim report 6M 2026 (reviewed), p. 14,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29.</w:t>
        <w:tab/>
      </w:r>
      <w:hyperlink r:id="rId33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30.</w:t>
        <w:tab/>
      </w:r>
      <w:hyperlink r:id="rId34">
        <w:r>
          <w:rPr>
            <w:color w:val="2A78D6"/>
            <w:sz w:val="17"/>
          </w:rPr>
          <w:t xml:space="preserve">Artea bankas - Interim report 6M 2026 (reviewed), p. 10, 2026-08-26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Artea bankas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Artea bankas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Artea bankas</w:t>
    </w:r>
    <w:r>
      <w:rPr>
        <w:b w:val="0"/>
        <w:color w:val="5F6B7A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roe1/2026_q2_en_con_esef.pdf#page=7" TargetMode="External"/><Relationship Id="rId13" Type="http://schemas.openxmlformats.org/officeDocument/2006/relationships/hyperlink" Target="https://nasdaqbaltic.com/market/upload/reports/roe1/2026_q2_en_con_esef.pdf#page=6" TargetMode="External"/><Relationship Id="rId14" Type="http://schemas.openxmlformats.org/officeDocument/2006/relationships/hyperlink" Target="https://nasdaqbaltic.com/market/upload/reports/roe1/2025_q4_en_con.pdf#page=17" TargetMode="External"/><Relationship Id="rId15" Type="http://schemas.openxmlformats.org/officeDocument/2006/relationships/hyperlink" Target="https://nasdaqbaltic.com/market/upload/reports/roe1/2025_q4_en_con.pdf#page=4" TargetMode="External"/><Relationship Id="rId16" Type="http://schemas.openxmlformats.org/officeDocument/2006/relationships/hyperlink" Target="https://nasdaqbaltic.com/market/upload/reports/roe1/2026_q2_en_con_esef.pdf#page=18" TargetMode="External"/><Relationship Id="rId17" Type="http://schemas.openxmlformats.org/officeDocument/2006/relationships/hyperlink" Target="https://nasdaqbaltic.com/market/upload/reports/roe1/2025_q4_en_con.pdf#page=7" TargetMode="External"/><Relationship Id="rId18" Type="http://schemas.openxmlformats.org/officeDocument/2006/relationships/hyperlink" Target="https://nasdaqbaltic.com/market/upload/reports/roe1/2026_q2_en_con_esef.pdf#page=23" TargetMode="External"/><Relationship Id="rId19" Type="http://schemas.openxmlformats.org/officeDocument/2006/relationships/hyperlink" Target="https://nasdaqbaltic.com/market/upload/reports/roe1/2026_q2_en_con_esef.pdf#page=24" TargetMode="External"/><Relationship Id="rId20" Type="http://schemas.openxmlformats.org/officeDocument/2006/relationships/hyperlink" Target="https://nasdaqbaltic.com/market/upload/reports/roe1/2026_q2_en_con_esef.pdf#page=16" TargetMode="External"/><Relationship Id="rId21" Type="http://schemas.openxmlformats.org/officeDocument/2006/relationships/hyperlink" Target="https://nasdaqbaltic.com/market/upload/reports/roe1/2026_q2_en_con_esef.pdf#page=17" TargetMode="External"/><Relationship Id="rId22" Type="http://schemas.openxmlformats.org/officeDocument/2006/relationships/hyperlink" Target="https://nasdaqbaltic.com/market/upload/reports/roe1/2025_q4_en_con.pdf#page=5" TargetMode="External"/><Relationship Id="rId23" Type="http://schemas.openxmlformats.org/officeDocument/2006/relationships/hyperlink" Target="https://nasdaqbaltic.com/market/upload/reports/roe1/2026_q2_en_con_esef.pdf#page=9" TargetMode="External"/><Relationship Id="rId24" Type="http://schemas.openxmlformats.org/officeDocument/2006/relationships/image" Target="media/image1.png"/><Relationship Id="rId25" Type="http://schemas.openxmlformats.org/officeDocument/2006/relationships/hyperlink" Target="https://nasdaqbaltic.com/market/upload/reports/roe1/2025_q4_en_con.pdf#page=6" TargetMode="External"/><Relationship Id="rId26" Type="http://schemas.openxmlformats.org/officeDocument/2006/relationships/hyperlink" Target="https://cdn.artea.lt/mainweb/uploads/media/69cbc6f608b68/annual-report-2025-lt-final.pdf#page=6" TargetMode="External"/><Relationship Id="rId27" Type="http://schemas.openxmlformats.org/officeDocument/2006/relationships/hyperlink" Target="https://www.artea.lt/lt/banko-investuotojams/vertybiniai-popieriai" TargetMode="External"/><Relationship Id="rId28" Type="http://schemas.openxmlformats.org/officeDocument/2006/relationships/hyperlink" Target="https://cdn.artea.lt/mainweb/uploads/media/69cbc6f608b68/annual-report-2025-lt-final.pdf#page=8" TargetMode="External"/><Relationship Id="rId29" Type="http://schemas.openxmlformats.org/officeDocument/2006/relationships/hyperlink" Target="https://news.google.com/rss/articles/CBMi1gFBVV95cUxPMVRmRnRCVGctSF9oZ0xnM0dIWVVPa0FxZnQzT2NOZUJGbVdhX1ZwMzJzSHI1TFctaDNfUTUwdTlTaEMxcWdhSGxKTjRkQms1a0tpTFhROFptSFBaMzZYblVMX1JnV0FwQmxqLVE0RnZ1Mk9tbDBMVXYtTjZyQk5pQ2FCXzRsUl8zdXFCUFNMM0UtSF9ielUycDZtcEpPTG52OEZhei11RVkydDdjQ0czN0F1MmJvU1pkcmFpcmgwYjducjB0ZlExUFpGdEUwVWY5V0E1NTJR?oc=5" TargetMode="External"/><Relationship Id="rId30" Type="http://schemas.openxmlformats.org/officeDocument/2006/relationships/hyperlink" Target="https://www.artea.lt/lt/apie/tvarumas/banko-tvarumo-informacija" TargetMode="External"/><Relationship Id="rId31" Type="http://schemas.openxmlformats.org/officeDocument/2006/relationships/hyperlink" Target="https://nasdaqbaltic.com/market/upload/reports/roe1/2025_q4_en_con.pdf#page=13" TargetMode="External"/><Relationship Id="rId32" Type="http://schemas.openxmlformats.org/officeDocument/2006/relationships/hyperlink" Target="https://nasdaqbaltic.com/market/upload/reports/roe1/2026_q2_en_con_esef.pdf#page=14" TargetMode="External"/><Relationship Id="rId33" Type="http://schemas.openxmlformats.org/officeDocument/2006/relationships/hyperlink" Target="https://sebgroup.com/sustainability/our-sustainability-strategy/policies" TargetMode="External"/><Relationship Id="rId34" Type="http://schemas.openxmlformats.org/officeDocument/2006/relationships/hyperlink" Target="https://nasdaqbaltic.com/market/upload/reports/roe1/2026_q2_en_con_esef.pdf#page=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