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60" w:type="dxa"/>
          <w:left w:w="280" w:type="dxa"/>
          <w:bottom w:w="260" w:type="dxa"/>
          <w:right w:w="28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  <w:shd w:val="clear" w:color="auto" w:fill="1F4E79"/>
          </w:tcPr>
          <w:p>
            <w:pPr>
              <w:spacing w:before="0" w:after="0"/>
            </w:pPr>
            <w:r>
              <w:rPr>
                <w:b/>
                <w:caps/>
                <w:color w:val="AFC6DD"/>
                <w:sz w:val="17"/>
              </w:rPr>
              <w:t>Issuer review · 6M2026</w:t>
            </w:r>
          </w:p>
          <w:p>
            <w:pPr>
              <w:spacing w:before="40" w:after="0"/>
            </w:pPr>
            <w:r>
              <w:rPr>
                <w:b/>
                <w:color w:val="FFFFFF"/>
                <w:sz w:val="52"/>
              </w:rPr>
              <w:t>Citadele banka</w:t>
            </w:r>
          </w:p>
        </w:tc>
        <w:tc>
          <w:tcPr>
            <w:tcW w:type="dxa" w:w="2608"/>
            <w:shd w:val="clear" w:color="auto" w:fill="1F4E79"/>
          </w:tcPr>
          <w:p>
            <w:pPr>
              <w:spacing w:before="280" w:after="0"/>
              <w:jc w:val="right"/>
            </w:pPr>
            <w:r>
              <w:rPr>
                <w:b/>
                <w:color w:val="1B7F3B"/>
                <w:sz w:val="19"/>
                <w:shd w:val="clear" w:color="auto" w:fill="E3F3E8"/>
              </w:rPr>
              <w:t xml:space="preserve">  ●  OK  </w:t>
            </w:r>
          </w:p>
        </w:tc>
      </w:tr>
    </w:tbl>
    <w:p>
      <w:pPr>
        <w:pBdr>
          <w:top w:val="single" w:sz="12" w:color="2A78D6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Analysis date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2026-10-22</w:t>
            </w:r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Issuer rating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Moody's (2026-04-21): long-term deposits A3, senior unsecured Baa2, outlook stable; AT1 Ba3</w:t>
            </w:r>
            <w:hyperlink r:id="rId12">
              <w:r>
                <w:rPr>
                  <w:color w:val="2A78D6"/>
                  <w:vertAlign w:val="superscript"/>
                  <w:sz w:val="16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6"/>
                </w:rPr>
                <w:t xml:space="preserve">2</w:t>
              </w:r>
            </w:hyperlink>
          </w:p>
        </w:tc>
        <w:tc>
          <w:tcPr>
            <w:tcW w:type="dxa" w:w="3213"/>
            <w:tcBorders>
              <w:top w:val="nil"/>
              <w:left w:val="nil"/>
              <w:bottom w:val="single" w:sz="4" w:color="C9D3DE" w:space="0"/>
              <w:right w:val="nil"/>
            </w:tcBorders>
          </w:tcPr>
          <w:p>
            <w:pPr>
              <w:spacing w:before="0" w:after="20"/>
            </w:pPr>
            <w:r>
              <w:rPr>
                <w:b/>
                <w:caps/>
                <w:color w:val="5F6B7A"/>
                <w:sz w:val="15"/>
              </w:rPr>
              <w:t>Next report</w:t>
            </w:r>
          </w:p>
          <w:p>
            <w:pPr>
              <w:spacing w:before="0" w:after="0"/>
            </w:pPr>
            <w:r>
              <w:rPr>
                <w:b w:val="0"/>
                <w:sz w:val="19"/>
              </w:rPr>
              <w:t>Q3 2026 public financial information - 2026-11-04</w:t>
            </w:r>
            <w:hyperlink r:id="rId14">
              <w:r>
                <w:rPr>
                  <w:color w:val="2A78D6"/>
                  <w:vertAlign w:val="superscript"/>
                  <w:sz w:val="16"/>
                </w:rPr>
                <w:t xml:space="preserve">3</w:t>
              </w:r>
            </w:hyperlink>
          </w:p>
        </w:tc>
      </w:tr>
    </w:tbl>
    <w:p>
      <w:pPr>
        <w:spacing w:before="0" w:after="8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A1A1A"/>
                <w:sz w:val="21"/>
              </w:rPr>
              <w:t>Position OK.</w:t>
            </w:r>
            <w:r>
              <w:rPr>
                <w:b w:val="0"/>
                <w:color w:val="1A1A1A"/>
                <w:sz w:val="21"/>
              </w:rPr>
              <w:t xml:space="preserve"> 1H profit EUR 39.8m (−8%), ROE 13.7%; CET1 17.8%, total capital 21.6%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b w:val="0"/>
                <w:color w:val="1A1A1A"/>
                <w:sz w:val="21"/>
              </w:rPr>
              <w:t>. Citing geopolitical uncertainty, the bank paid out only 31.5% of profit as dividends, which favours bondholders</w:t>
            </w:r>
            <w:hyperlink r:id="rId15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A1A1A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Net profit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39.8</w:t>
            </w:r>
            <w:r>
              <w:rPr>
                <w:b w:val="0"/>
                <w:color w:val="5F6B7A"/>
                <w:sz w:val="18"/>
              </w:rPr>
              <w:t xml:space="preserve"> EUR m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8.1 %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ROE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13.7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1.7 p. p.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CET1 ratio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17.8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0.4 p. p.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C9D3DE" w:space="0"/>
              <w:bottom w:val="single" w:sz="4" w:color="C9D3DE" w:space="0"/>
              <w:right w:val="single" w:sz="4" w:color="C9D3DE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5F6B7A"/>
                <w:sz w:val="14"/>
              </w:rPr>
              <w:t>Total capital ratio</w:t>
            </w:r>
            <w:r>
              <w:rPr>
                <w:b w:val="0"/>
                <w:color w:val="5F6B7A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F4E79"/>
                <w:sz w:val="34"/>
              </w:rPr>
              <w:t>21.6</w:t>
            </w:r>
            <w:r>
              <w:rPr>
                <w:b w:val="0"/>
                <w:color w:val="5F6B7A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5F6B7A"/>
                <w:sz w:val="15"/>
              </w:rPr>
              <w:t>▼ 0.7 p. p. vs FY2025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F4E79"/>
          <w:sz w:val="28"/>
        </w:rPr>
        <w:t>Quick summary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Profit slightly lower:</w:t>
      </w:r>
      <w:r>
        <w:rPr>
          <w:b w:val="0"/>
        </w:rPr>
        <w:t xml:space="preserve"> 1H net profit (continuing operations) EUR 39.8m versus 43.3m; ROE 13.7% (15.4%). Net interest income stable at EUR 89.5m</w:t>
      </w:r>
      <w:hyperlink r:id="rId15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Capital and liquidity with headroom:</w:t>
      </w:r>
      <w:r>
        <w:rPr>
          <w:b w:val="0"/>
        </w:rPr>
        <w:t xml:space="preserve"> CET1 17.8%, total capital 21.6%, LCR 163%, NSFR 138%</w:t>
      </w:r>
      <w:hyperlink r:id="rId15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Cautious dividends:</w:t>
      </w:r>
      <w:r>
        <w:rPr>
          <w:b w:val="0"/>
        </w:rPr>
        <w:t xml:space="preserve"> EUR 25.7m paid for 2025 (31.5% payout versus a 50% policy) due to geopolitical uncertainty; a EUR 50m share buyback was completed in January 2026</w:t>
      </w:r>
      <w:hyperlink r:id="rId15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Management changes:</w:t>
      </w:r>
      <w:r>
        <w:rPr>
          <w:b w:val="0"/>
        </w:rPr>
        <w:t xml:space="preserve"> S. Mizak left the board (March 2026) and CRO J. Lebedinska-Ļitvinova stepped down (May 2026); E. Näsäkkälä is nominated as the new CRO</w:t>
      </w:r>
      <w:hyperlink r:id="rId15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F4E79"/>
          <w:sz w:val="28"/>
        </w:rPr>
        <w:t>Instruments held and ISINs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513"/>
        <w:gridCol w:w="2241"/>
        <w:gridCol w:w="840"/>
        <w:gridCol w:w="1120"/>
        <w:gridCol w:w="1569"/>
        <w:gridCol w:w="2353"/>
      </w:tblGrid>
      <w:tr>
        <w:tc>
          <w:tcPr>
            <w:tcW w:type="dxa" w:w="1513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ISIN</w:t>
            </w:r>
          </w:p>
        </w:tc>
        <w:tc>
          <w:tcPr>
            <w:tcW w:type="dxa" w:w="22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Instrument</w:t>
            </w:r>
          </w:p>
        </w:tc>
        <w:tc>
          <w:tcPr>
            <w:tcW w:type="dxa" w:w="84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Coupon</w:t>
            </w:r>
          </w:p>
        </w:tc>
        <w:tc>
          <w:tcPr>
            <w:tcW w:type="dxa" w:w="1121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Maturity</w:t>
            </w:r>
          </w:p>
        </w:tc>
        <w:tc>
          <w:tcPr>
            <w:tcW w:type="dxa" w:w="1569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Issue rating</w:t>
            </w:r>
          </w:p>
        </w:tc>
        <w:tc>
          <w:tcPr>
            <w:tcW w:type="dxa" w:w="2353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Note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XS3060301168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Citadele 7.125% AT1 perpetual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7.125%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perpetual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 separate rating found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Additional Tier 1, temporary write-down, perpetual; fixed to first reset 2031-01-09; Moody's Ba3</w:t>
            </w:r>
          </w:p>
        </w:tc>
      </w:tr>
      <w:tr>
        <w:tc>
          <w:tcPr>
            <w:tcW w:type="dxa" w:w="151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XS3148256913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Citadele 3.875% fixed/floating senior preferred 2029</w:t>
            </w:r>
          </w:p>
        </w:tc>
        <w:tc>
          <w:tcPr>
            <w:tcW w:type="dxa" w:w="84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3.875%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2029-12-23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Moody's Baa2 (senior unsecured (assigned 2026-04-21))</w:t>
            </w:r>
          </w:p>
        </w:tc>
        <w:tc>
          <w:tcPr>
            <w:tcW w:type="dxa" w:w="2353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preferred, MREL-eligible; fixed to reset 2028-12-23, then 3M EURIBOR+1.70%; Moody's Baa2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F4E79"/>
          <w:sz w:val="28"/>
        </w:rPr>
        <w:t>Key ratios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Metric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FY2024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FY2025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6M2025</w:t>
            </w:r>
          </w:p>
        </w:tc>
        <w:tc>
          <w:tcPr>
            <w:tcW w:type="dxa" w:w="1157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6M2026</w:t>
            </w:r>
          </w:p>
        </w:tc>
        <w:tc>
          <w:tcPr>
            <w:tcW w:type="dxa" w:w="214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1F4E79"/>
                <w:sz w:val="16"/>
              </w:rPr>
              <w:t>Change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profit,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84.7*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43.3*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39.8*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8.1 %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income,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192.5*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177.2*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89.2*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89.5*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0.3 %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operating income,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234.8*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221.5*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111.5*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109.4*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1.9 %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Cost/income ratio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48.4%*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49.2%*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47.1%*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50.3%*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▲ 3.2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ROE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17.5%*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14.6%*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15.4%*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13.7%*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1.7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Cost of risk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0.0%*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0.3%*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• 0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Net interest margin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3.8%*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3.7%*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0.1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Loans to customers,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3,275*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3,764*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3,947*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4.9 %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Customer deposits, EUR 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4,023*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4,304*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4,325*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0.5 %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CET1 ratio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19.2%*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18.2%*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17.8%*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0.4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Total capital ratio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21.4%*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21.6%*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0.7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LCR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163%*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18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NSFR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141%*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138%*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3 p. p.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NPL ratio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2.3%*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1.7%*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2.1%*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1.9%*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0.2 p. p.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5F6B7A"/>
          <w:sz w:val="16"/>
        </w:rPr>
        <w:t>Colours: green change – the metric is improving, red – worsening. Latest-period cell background: green – good level, amber – average, red – weak (tool benchmarks, config/metric_rules.yaml).</w:t>
      </w:r>
    </w:p>
    <w:p>
      <w:pPr>
        <w:spacing w:before="40" w:after="60"/>
      </w:pPr>
      <w:r>
        <w:rPr>
          <w:b w:val="0"/>
          <w:color w:val="5F6B7A"/>
          <w:sz w:val="16"/>
        </w:rPr>
        <w:t>* – taken from the report summary;  ᶜ – calculated by the tool. Small numbers next to text link to the source (opens the document at the cited page).</w:t>
      </w:r>
    </w:p>
    <w:p>
      <w:r>
        <w:drawing>
          <wp:inline xmlns:a="http://schemas.openxmlformats.org/drawingml/2006/main" xmlns:pic="http://schemas.openxmlformats.org/drawingml/2006/picture">
            <wp:extent cx="6120000" cy="1713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adele_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13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F4E79"/>
          <w:sz w:val="28"/>
        </w:rPr>
        <w:t>Business performance review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Loans EUR 3,947m (+4.9% since YE2025), deposits EUR 4,325m (calculated by the tool)</w:t>
      </w:r>
      <w:hyperlink r:id="rId15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Cost/income 50.3% (47.1%), cost of risk 0.3%, stage 3 loans 1.9% (2.1%)</w:t>
      </w:r>
      <w:hyperlink r:id="rId15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Green financing in 1H EUR 56.4m (7.5% of new lending); EUR 176.2m in 2025</w:t>
      </w:r>
      <w:hyperlink r:id="rId15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color w:val="2A78D6"/>
          <w:vertAlign w:val="superscript"/>
        </w:rPr>
        <w:t>,</w:t>
      </w:r>
      <w:hyperlink r:id="rId16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F4E79"/>
          <w:sz w:val="28"/>
        </w:rPr>
        <w:t>Financials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FY2025 profit (continuing operations) EUR 84.7m (2024:</w:t>
      </w:r>
      <w:r>
        <w:rPr>
          <w:b w:val="0"/>
        </w:rPr>
        <w:t xml:space="preserve"> 94.5m), ROE 14.6% (17.5%); the Swiss Kaleido Privatbank was sold in 2025</w:t>
      </w:r>
      <w:hyperlink r:id="rId16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On 2026-09-28 EUR 50m of senior preferred bonds (5.15%) were issued; part of the proceeds will buy back EUR 40m of subordinated bonds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F4E79"/>
          <w:sz w:val="28"/>
        </w:rPr>
        <w:t>Past plans vs outcomes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Plan / target</w:t>
            </w:r>
          </w:p>
        </w:tc>
        <w:tc>
          <w:tcPr>
            <w:tcW w:type="dxa" w:w="257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Outcome</w:t>
            </w:r>
          </w:p>
        </w:tc>
        <w:tc>
          <w:tcPr>
            <w:tcW w:type="dxa" w:w="3138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What changed and why</w:t>
            </w:r>
          </w:p>
        </w:tc>
        <w:tc>
          <w:tcPr>
            <w:tcW w:type="dxa" w:w="1345"/>
            <w:tcBorders>
              <w:top w:val="single" w:sz="12" w:color="1F4E79" w:space="0"/>
              <w:left w:val="nil"/>
              <w:bottom w:val="single" w:sz="4" w:color="C9D3DE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caps/>
                <w:color w:val="1F4E79"/>
                <w:sz w:val="16"/>
              </w:rPr>
              <w:t>Status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Dividend policy: 50% of prior-year profit, subject to internal capital targets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31.5% paid for 2025; the remaining EUR 15.1m may be paid later in 2026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Changed: the board reduced the payout due to geopolitical uncertainty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FDF1D8"/>
          </w:tcPr>
          <w:p>
            <w:pPr>
              <w:spacing w:before="0" w:after="0"/>
            </w:pPr>
            <w:r>
              <w:rPr>
                <w:b/>
                <w:sz w:val="17"/>
              </w:rPr>
              <w:t>Revised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Green financing target of EUR 75m for 2026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1H: EUR 56.4m</w:t>
            </w:r>
            <w:hyperlink r:id="rId16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 progress: 75% of the annual target reached in the half year (calculated by the tool)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11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Vision: become the Baltic banking champion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Loan book growing, ROE 13.7%</w:t>
            </w:r>
            <w:hyperlink r:id="rId15">
              <w:r>
                <w:rPr>
                  <w:color w:val="2A78D6"/>
                  <w:vertAlign w:val="superscript"/>
                  <w:sz w:val="14"/>
                </w:rPr>
                <w:t xml:space="preserve">4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DDE3EA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Long-term goal.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DDE3EA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In progress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F4E79"/>
          <w:sz w:val="28"/>
        </w:rPr>
        <w:t>Investor information &amp; conclusions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Instruments held:</w:t>
      </w:r>
      <w:r>
        <w:rPr>
          <w:b w:val="0"/>
        </w:rPr>
        <w:t xml:space="preserve"> a 3.875% senior preferred (MREL) bond, EUR 300m, fixed until 2028-12-23 then 3M EURIBOR + 1.70%, maturing 2029-12-23, rated Baa2; and a 7.125% perpetual AT1, EUR 50m, first reset (call) date 2031-01-09, rated Ba3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For AT1 holders:</w:t>
      </w:r>
      <w:r>
        <w:rPr>
          <w:b w:val="0"/>
        </w:rPr>
        <w:t xml:space="preserve"> CET1 of 17.8% is well above requirements, and the cautious dividend policy supports capital</w:t>
      </w:r>
      <w:hyperlink r:id="rId15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Owners:</w:t>
      </w:r>
      <w:r>
        <w:rPr>
          <w:b w:val="0"/>
        </w:rPr>
        <w:t xml:space="preserve"> Ripplewood consortium 69.8%, EBRD 27.8%</w:t>
      </w:r>
      <w:hyperlink r:id="rId15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 An extraordinary shareholders' meeting was held on 2026-10-12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Conclusion:</w:t>
      </w:r>
      <w:r>
        <w:rPr>
          <w:b w:val="0"/>
        </w:rPr>
        <w:t xml:space="preserve"> good profitability, strong capital and cheap funding. 9M results due on 2026-11-04.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F4E79"/>
          <w:sz w:val="28"/>
        </w:rPr>
        <w:t>In the press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Bonds:</w:t>
      </w:r>
      <w:r>
        <w:rPr>
          <w:b w:val="0"/>
        </w:rPr>
        <w:t xml:space="preserve"> on 2026-09-29 Citadele placed a EUR 50m bond issue, oversubscribed 1.35 times</w:t>
      </w:r>
      <w:hyperlink r:id="rId1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color w:val="2A78D6"/>
          <w:vertAlign w:val="superscript"/>
        </w:rPr>
        <w:t>,</w:t>
      </w:r>
      <w:hyperlink r:id="rId1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Customer safety:</w:t>
      </w:r>
      <w:r>
        <w:rPr>
          <w:b w:val="0"/>
        </w:rPr>
        <w:t xml:space="preserve"> in October the bank warned of new fraud schemes (impersonating bank staff) – customer warnings, not breaches</w:t>
      </w:r>
      <w:hyperlink r:id="rId20">
        <w:r>
          <w:rPr>
            <w:color w:val="2A78D6"/>
            <w:vertAlign w:val="superscript"/>
            <w:sz w:val="17"/>
          </w:rPr>
          <w:t xml:space="preserve">20</w:t>
        </w:r>
      </w:hyperlink>
      <w:r>
        <w:rPr>
          <w:b w:val="0"/>
        </w:rPr>
        <w:t>.</w:t>
      </w:r>
    </w:p>
    <w:p>
      <w:pPr>
        <w:spacing w:before="40" w:after="60"/>
      </w:pPr>
      <w:r>
        <w:rPr>
          <w:b w:val="0"/>
          <w:color w:val="5F6B7A"/>
          <w:sz w:val="18"/>
        </w:rPr>
        <w:t>Automatic news scan (Google News, EE, LT, LV), 2026-07-24 – 2026-10-22: 10 articles.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20"/>
        <w:gridCol w:w="1360"/>
        <w:gridCol w:w="7257"/>
      </w:tblGrid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2026-09-29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1F5FA8"/>
                <w:sz w:val="14"/>
                <w:shd w:val="clear" w:color="auto" w:fill="E6F0FB"/>
              </w:rPr>
              <w:t xml:space="preserve"> BONDS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18">
              <w:r>
                <w:rPr>
                  <w:color w:val="1A1A1A"/>
                  <w:sz w:val="18"/>
                </w:rPr>
                <w:t xml:space="preserve">„Citadele banka“ išplatino 50 mln. obligacijų emisiją</w:t>
              </w:r>
            </w:hyperlink>
            <w:r>
              <w:rPr>
                <w:b w:val="0"/>
                <w:color w:val="5F6B7A"/>
                <w:sz w:val="15"/>
              </w:rPr>
              <w:t xml:space="preserve">   15min.lt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2026-10-18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MANAGEMENT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1">
              <w:r>
                <w:rPr>
                  <w:color w:val="1A1A1A"/>
                  <w:sz w:val="18"/>
                </w:rPr>
                <w:t xml:space="preserve">Citadele panga tegevjuht: kõige madalam hõive- ja palgakasv on tehisintellektile tundlikes sektorites</w:t>
              </w:r>
            </w:hyperlink>
            <w:r>
              <w:rPr>
                <w:b w:val="0"/>
                <w:color w:val="5F6B7A"/>
                <w:sz w:val="15"/>
              </w:rPr>
              <w:t xml:space="preserve">   Head Uudised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2">
              <w:r>
                <w:rPr>
                  <w:color w:val="1A1A1A"/>
                  <w:sz w:val="18"/>
                </w:rPr>
                <w:t xml:space="preserve">Sukčiai „WhatsApp“ apsimeta „Citadele“ darbuotojais: kaip apsaugoti duomenis ir pinigus</w:t>
              </w:r>
            </w:hyperlink>
            <w:r>
              <w:rPr>
                <w:b w:val="0"/>
                <w:color w:val="5F6B7A"/>
                <w:sz w:val="15"/>
              </w:rPr>
              <w:t xml:space="preserve">   77.lt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2026-10-20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0">
              <w:r>
                <w:rPr>
                  <w:color w:val="1A1A1A"/>
                  <w:sz w:val="18"/>
                </w:rPr>
                <w:t xml:space="preserve">Banka "Citadele" brīdina par jaunām krāpnieku aktivitātēm</w:t>
              </w:r>
            </w:hyperlink>
            <w:r>
              <w:rPr>
                <w:b w:val="0"/>
                <w:color w:val="5F6B7A"/>
                <w:sz w:val="15"/>
              </w:rPr>
              <w:t xml:space="preserve">   DELFI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2026-10-19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3">
              <w:r>
                <w:rPr>
                  <w:color w:val="1A1A1A"/>
                  <w:sz w:val="18"/>
                </w:rPr>
                <w:t xml:space="preserve">Banka "Citadele" izplatījusi brīdinājumu Latvijas iedzīvotājiem</w:t>
              </w:r>
            </w:hyperlink>
            <w:r>
              <w:rPr>
                <w:b w:val="0"/>
                <w:color w:val="5F6B7A"/>
                <w:sz w:val="15"/>
              </w:rPr>
              <w:t xml:space="preserve">   NRA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2026-10-16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4">
              <w:r>
                <w:rPr>
                  <w:color w:val="1A1A1A"/>
                  <w:sz w:val="18"/>
                </w:rPr>
                <w:t xml:space="preserve">Banka "Citadele" izsniegusi 3,9 miljonu eiro aizdevumu "Līvānu SES" un "Krāslavas SES II"</w:t>
              </w:r>
            </w:hyperlink>
            <w:r>
              <w:rPr>
                <w:b w:val="0"/>
                <w:color w:val="5F6B7A"/>
                <w:sz w:val="15"/>
              </w:rPr>
              <w:t xml:space="preserve">   Radio1.lv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2026-10-13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5">
              <w:r>
                <w:rPr>
                  <w:color w:val="1A1A1A"/>
                  <w:sz w:val="18"/>
                </w:rPr>
                <w:t xml:space="preserve">Citadele ievieš C Business platformu efektīvākai uzņēmuma pārvaldībai</w:t>
              </w:r>
            </w:hyperlink>
            <w:r>
              <w:rPr>
                <w:b w:val="0"/>
                <w:color w:val="5F6B7A"/>
                <w:sz w:val="15"/>
              </w:rPr>
              <w:t xml:space="preserve">   TVNET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2026-10-06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6">
              <w:r>
                <w:rPr>
                  <w:color w:val="1A1A1A"/>
                  <w:sz w:val="18"/>
                </w:rPr>
                <w:t xml:space="preserve">„Citadele“ pristato inovatyvią platformą verslui administracinei naštai mažinti</w:t>
              </w:r>
            </w:hyperlink>
            <w:r>
              <w:rPr>
                <w:b w:val="0"/>
                <w:color w:val="5F6B7A"/>
                <w:sz w:val="15"/>
              </w:rPr>
              <w:t xml:space="preserve">   Delfi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2026-10-02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27">
              <w:r>
                <w:rPr>
                  <w:color w:val="1A1A1A"/>
                  <w:sz w:val="18"/>
                </w:rPr>
                <w:t xml:space="preserve">Citadele ievieš platformu uzņēmumiem administratīvā sloga mazināšanai</w:t>
              </w:r>
            </w:hyperlink>
            <w:r>
              <w:rPr>
                <w:b w:val="0"/>
                <w:color w:val="5F6B7A"/>
                <w:sz w:val="15"/>
              </w:rPr>
              <w:t xml:space="preserve">   Dienas Bizness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color w:val="1A1A1A"/>
                <w:sz w:val="17"/>
              </w:rPr>
              <w:t>2026-10-01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olor w:val="5F6B7A"/>
                <w:sz w:val="14"/>
                <w:shd w:val="clear" w:color="auto" w:fill="F0F2F5"/>
              </w:rPr>
              <w:t xml:space="preserve"> OTHER 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hyperlink r:id="rId19">
              <w:r>
                <w:rPr>
                  <w:color w:val="1A1A1A"/>
                  <w:sz w:val="18"/>
                </w:rPr>
                <w:t xml:space="preserve">Citadele 50 miljoni emissioon märgiti 1,35 korda üle</w:t>
              </w:r>
            </w:hyperlink>
            <w:r>
              <w:rPr>
                <w:b w:val="0"/>
                <w:color w:val="5F6B7A"/>
                <w:sz w:val="15"/>
              </w:rPr>
              <w:t xml:space="preserve">   quasa.io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F4E79"/>
          <w:sz w:val="28"/>
        </w:rPr>
        <w:t>ESG report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bank is not active in excluded sectors and has defined industries it does not finance due to significant negative environmental impact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UN Global Compact or OECD related controversies or supervisory fines found (2026-10-22).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Not found on the EU, UN, UK, US OFAC consolidated sanctions lists (automatic check 2026-10-22).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adverse news found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News summary 2026-07-24 – 2026-10-22: 10 articles, 0 with an adverse keyword in the headline (details in the section "In the press").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Lending Framework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financing EUR 176.2m in 2025 (2024: 102.4m), green savings EUR 52m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Member of the UN Principles for Responsible Banking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asset manager is a PRI signatory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Target of net-zero financed emissions by 2050 (Transition Plan v1)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yellow flags found.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Applicable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The Investments policy and the Environmental and Social &amp; Human Rights policies</w:t>
            </w:r>
            <w:hyperlink r:id="rId28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Met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Financing exclusions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2050 climate target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UN PRB membership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AML and sanctions training for close to 100% of staff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15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Could be improved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Financed emission figures not found in the report.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No need: the bank is profitable, well capitalised and ESG practice is in order.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AF1F8"/>
        <w:spacing w:before="200" w:after="80"/>
        <w:ind w:left="85"/>
      </w:pPr>
      <w:r>
        <w:rPr>
          <w:b/>
          <w:caps/>
          <w:color w:val="1F4E79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A1A1A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Green financing 11% of new lending in 2025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12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5F6B7A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Women on the management board 43%, supervisory board 25%</w:t>
            </w:r>
            <w:hyperlink r:id="rId16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No exclusions or red flags. Green financing is growing, with a climate target and UN PRB membership.</w:t>
      </w:r>
    </w:p>
    <w:p>
      <w:pPr>
        <w:spacing w:before="40" w:after="60"/>
      </w:pPr>
      <w:r>
        <w:rPr>
          <w:b w:val="0"/>
          <w:color w:val="5F6B7A"/>
          <w:sz w:val="16"/>
        </w:rPr>
        <w:t>SEB policies applied: Policy on Sustainability Considerations in Investments (SEB AB); Financial sector - no dedicated SEB sector policy (thematic policies applied);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F4E79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F4E79"/>
          <w:sz w:val="28"/>
        </w:rPr>
        <w:t>Sources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Citadele - Ratings,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Citadele issues EUR 50 million senior unsecured preferred bonds (2026-09-28), 2026-09-28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Citadele - Bonds,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4.</w:t>
        <w:tab/>
      </w:r>
      <w:hyperlink r:id="rId15">
        <w:r>
          <w:rPr>
            <w:color w:val="2A78D6"/>
            <w:sz w:val="17"/>
          </w:rPr>
          <w:t xml:space="preserve">Citadele - Interim report 6M 2026, p. 2,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5.</w:t>
        <w:tab/>
      </w:r>
      <w:hyperlink r:id="rId15">
        <w:r>
          <w:rPr>
            <w:color w:val="2A78D6"/>
            <w:sz w:val="17"/>
          </w:rPr>
          <w:t xml:space="preserve">Citadele - Interim report 6M 2026, p. 5,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6.</w:t>
        <w:tab/>
      </w:r>
      <w:hyperlink r:id="rId15">
        <w:r>
          <w:rPr>
            <w:color w:val="2A78D6"/>
            <w:sz w:val="17"/>
          </w:rPr>
          <w:t xml:space="preserve">Citadele - Interim report 6M 2026, p. 2, 7,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7.</w:t>
        <w:tab/>
      </w:r>
      <w:hyperlink r:id="rId15">
        <w:r>
          <w:rPr>
            <w:color w:val="2A78D6"/>
            <w:sz w:val="17"/>
          </w:rPr>
          <w:t xml:space="preserve">Citadele - Interim report 6M 2026, p. 5, 11,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8.</w:t>
        <w:tab/>
      </w:r>
      <w:hyperlink r:id="rId16">
        <w:r>
          <w:rPr>
            <w:color w:val="2A78D6"/>
            <w:sz w:val="17"/>
          </w:rPr>
          <w:t xml:space="preserve">Citadele - Annual report 2025, p. 2, 2026-03-19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9.</w:t>
        <w:tab/>
      </w:r>
      <w:hyperlink r:id="rId15">
        <w:r>
          <w:rPr>
            <w:color w:val="2A78D6"/>
            <w:sz w:val="17"/>
          </w:rPr>
          <w:t xml:space="preserve">Citadele - Interim report 6M 2026, p. 2, 15,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10.</w:t>
        <w:tab/>
      </w:r>
      <w:hyperlink r:id="rId15">
        <w:r>
          <w:rPr>
            <w:color w:val="2A78D6"/>
            <w:sz w:val="17"/>
          </w:rPr>
          <w:t xml:space="preserve">Citadele - Interim report 6M 2026, p. 2, 4,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11.</w:t>
        <w:tab/>
      </w:r>
      <w:hyperlink r:id="rId15">
        <w:r>
          <w:rPr>
            <w:color w:val="2A78D6"/>
            <w:sz w:val="17"/>
          </w:rPr>
          <w:t xml:space="preserve">Citadele - Interim report 6M 2026, p. 7,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12.</w:t>
        <w:tab/>
      </w:r>
      <w:hyperlink r:id="rId16">
        <w:r>
          <w:rPr>
            <w:color w:val="2A78D6"/>
            <w:sz w:val="17"/>
          </w:rPr>
          <w:t xml:space="preserve">Citadele - Annual report 2025, p. 24, 2026-03-19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13.</w:t>
        <w:tab/>
      </w:r>
      <w:hyperlink r:id="rId16">
        <w:r>
          <w:rPr>
            <w:color w:val="2A78D6"/>
            <w:sz w:val="17"/>
          </w:rPr>
          <w:t xml:space="preserve">Citadele - Annual report 2025, p. 2, 5-7, 2026-03-19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14.</w:t>
        <w:tab/>
      </w:r>
      <w:hyperlink r:id="rId16">
        <w:r>
          <w:rPr>
            <w:color w:val="2A78D6"/>
            <w:sz w:val="17"/>
          </w:rPr>
          <w:t xml:space="preserve">Citadele - Annual report 2025, p. 11, 2026-03-19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15.</w:t>
        <w:tab/>
      </w:r>
      <w:hyperlink r:id="rId16">
        <w:r>
          <w:rPr>
            <w:color w:val="2A78D6"/>
            <w:sz w:val="17"/>
          </w:rPr>
          <w:t xml:space="preserve">Citadele - Annual report 2025, p. 22, 2026-03-19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16.</w:t>
        <w:tab/>
      </w:r>
      <w:hyperlink r:id="rId15">
        <w:r>
          <w:rPr>
            <w:color w:val="2A78D6"/>
            <w:sz w:val="17"/>
          </w:rPr>
          <w:t xml:space="preserve">Citadele - Interim report 6M 2026, p. 2, 5,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17.</w:t>
        <w:tab/>
      </w:r>
      <w:hyperlink r:id="rId15">
        <w:r>
          <w:rPr>
            <w:color w:val="2A78D6"/>
            <w:sz w:val="17"/>
          </w:rPr>
          <w:t xml:space="preserve">Citadele - Interim report 6M 2026, p. 11, 2026-08-05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18.</w:t>
        <w:tab/>
      </w:r>
      <w:hyperlink r:id="rId18">
        <w:r>
          <w:rPr>
            <w:color w:val="2A78D6"/>
            <w:sz w:val="17"/>
          </w:rPr>
          <w:t xml:space="preserve">15min.lt – „Citadele banka“ išplatino 50 mln. obligacijų emisiją, 2026-09-29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19.</w:t>
        <w:tab/>
      </w:r>
      <w:hyperlink r:id="rId19">
        <w:r>
          <w:rPr>
            <w:color w:val="2A78D6"/>
            <w:sz w:val="17"/>
          </w:rPr>
          <w:t xml:space="preserve">quasa.io – Citadele 50 miljoni emissioon märgiti 1,35 korda üle, 2026-10-01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20.</w:t>
        <w:tab/>
      </w:r>
      <w:hyperlink r:id="rId20">
        <w:r>
          <w:rPr>
            <w:color w:val="2A78D6"/>
            <w:sz w:val="17"/>
          </w:rPr>
          <w:t xml:space="preserve">DELFI – Banka "Citadele" brīdina par jaunām krāpnieku aktivitātēm, 2026-10-20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21.</w:t>
        <w:tab/>
      </w:r>
      <w:hyperlink r:id="rId16">
        <w:r>
          <w:rPr>
            <w:color w:val="2A78D6"/>
            <w:sz w:val="17"/>
          </w:rPr>
          <w:t xml:space="preserve">Citadele - Annual report 2025, p. 23, 2026-03-19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22.</w:t>
        <w:tab/>
      </w:r>
      <w:hyperlink r:id="rId28">
        <w:r>
          <w:rPr>
            <w:color w:val="2A78D6"/>
            <w:sz w:val="17"/>
          </w:rPr>
          <w:t xml:space="preserve">SEB Policy on Sustainability Considerations in Investments (2026-04-15), p. 5, 7, 2026-04-15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5F6B7A"/>
          <w:sz w:val="17"/>
        </w:rPr>
        <w:t>23.</w:t>
        <w:tab/>
      </w:r>
      <w:hyperlink r:id="rId16">
        <w:r>
          <w:rPr>
            <w:color w:val="2A78D6"/>
            <w:sz w:val="17"/>
          </w:rPr>
          <w:t xml:space="preserve">Citadele - Annual report 2025, p. 20, 2026-03-19</w:t>
        </w:r>
      </w:hyperlink>
    </w:p>
    <w:p>
      <w:pPr>
        <w:spacing w:before="40" w:after="60"/>
      </w:pPr>
      <w:r>
        <w:rPr>
          <w:b w:val="0"/>
          <w:color w:val="5F6B7A"/>
          <w:sz w:val="16"/>
        </w:rPr>
        <w:t>Report prepared from public sources. Figures are as published by the issuer; small numbers next to the text point to the source list.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Citadele banka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C9D3DE" w:space="4"/>
      </w:pBdr>
      <w:tabs>
        <w:tab w:pos="9638" w:val="right"/>
      </w:tabs>
    </w:pPr>
    <w:r>
      <w:rPr>
        <w:b w:val="0"/>
        <w:color w:val="5F6B7A"/>
        <w:sz w:val="16"/>
      </w:rPr>
      <w:t>Citadele banka · 6M2026 · 2026-10-22</w:t>
      <w:tab/>
    </w:r>
    <w:r>
      <w:rPr>
        <w:b/>
        <w:color w:val="1F4E7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C9D3DE" w:space="4"/>
      </w:pBdr>
      <w:tabs>
        <w:tab w:pos="9638" w:val="right"/>
      </w:tabs>
    </w:pPr>
    <w:r>
      <w:rPr>
        <w:b/>
        <w:color w:val="1F4E79"/>
        <w:sz w:val="16"/>
      </w:rPr>
      <w:t>Citadele banka</w:t>
    </w:r>
    <w:r>
      <w:rPr>
        <w:b w:val="0"/>
        <w:color w:val="5F6B7A"/>
        <w:sz w:val="16"/>
      </w:rPr>
      <w:tab/>
      <w:t>Issuer review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cblgroup.com/en/investors/ratings/" TargetMode="External"/><Relationship Id="rId13" Type="http://schemas.openxmlformats.org/officeDocument/2006/relationships/hyperlink" Target="https://www.cblgroup.com/en/investors/announcements/2026/citadele-issues-eur-50-million-senior-unsecured-preferred-bonds/" TargetMode="External"/><Relationship Id="rId14" Type="http://schemas.openxmlformats.org/officeDocument/2006/relationships/hyperlink" Target="https://www.cblgroup.com/en/investors/bonds/" TargetMode="External"/><Relationship Id="rId15" Type="http://schemas.openxmlformats.org/officeDocument/2006/relationships/hyperlink" Target="https://www.cblgroup.com/media/W1siZiIsIjIwMjYvMDgvMDUvNTh4c2I0cDRzM19DaXRhZGVsZV82bTIwMjZfRU4ucGRmIl1d?sha=6f81681556b09959" TargetMode="External"/><Relationship Id="rId16" Type="http://schemas.openxmlformats.org/officeDocument/2006/relationships/hyperlink" Target="https://www.cblgroup.com/media/W1siZiIsIjIwMjYvMDMvMTkvOG9icXc4MzVubV9DaXRhZGVsZV9Bbm51YWxfcmVwb3J0XzIwMjUucGRmIl1d?sha=e68c93f08d3acc0c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news.google.com/rss/articles/CBMirgFBVV95cUxPdXZ0QzFxSmstc2Uzd3lXdFhIYU5ybHdLNko4a2VPTDdwT3AwSUhuOGVadnZ5QkNTVU1RQ25wQjVrdV9jNllIaVRRYWlVVFEwN2IwYVlOdXNuTWMzV2NxX0k3MlFvVGFLZUI5djJkejBoZG10c21PdG10N3hHU0I5bmJhY2ozN0Q5anY4SDZDWVVPbkNqc3R1eWRUdmoxVkRNVmFtdGhQMDMxRURNcXc?oc=5" TargetMode="External"/><Relationship Id="rId19" Type="http://schemas.openxmlformats.org/officeDocument/2006/relationships/hyperlink" Target="https://news.google.com/rss/articles/CBMijwFBVV95cUxOZnVhUjlvWnoyNnlTaFQ1UERpclFrY19pUDgySXJpc25oUTFrOXNHV2ZPY3FaajJXa3NyLU02eUhvb1RkUnBIekVSNnRhTVduZEdhV1Fva0hub1UzcGFsd3Q3a2NWYU9xeEpGVUhCbWExS3JzdHlWbjY4bGN6N1lCZEF4U1RMS2NZRGhhOC0zaw?oc=5" TargetMode="External"/><Relationship Id="rId20" Type="http://schemas.openxmlformats.org/officeDocument/2006/relationships/hyperlink" Target="https://news.google.com/rss/articles/CBMivwFBVV95cUxQcWp5MXFsOE1UOG54R3M1RXhnRVlGcWt4LXd0ek9XOVA5RzVPMnZld0g5NHdaa1dQYkZxQ3F0S1FQenQ1TklJMUx6UmROS2x5R1o0SGlNNFZqRWpMUXJTR1RBNXJjTFJOWE9yNlhDLWliVzZ1VU43VXR6X0xveE1PY0dDOFhfYTh3X2ZmU3Y3czhNYVpkRUFCSktEWkh3dEV2SnlCaklMbkotUkdveU00MUt3RFlNWG1LUWd5Wkt4dw?oc=5" TargetMode="External"/><Relationship Id="rId21" Type="http://schemas.openxmlformats.org/officeDocument/2006/relationships/hyperlink" Target="https://news.google.com/rss/articles/CBMivAFBVV95cUxNQXo2X2NJMmNDaTItcVJfNW1hd19lU25kUXFuR3F3ZTRvcS1vT2FpMW5kQjhndTBheWJmRUxyX05samoxRkZTT1VKaFJCN1M4NVc0V3ZjYXRaMnhRazM2STBRNW5IV2doY1M0YjFXanI2dEprcF9TVGJCUldsdG9yazVHRzZFZlNGUFRKc3FQT0UzTXUwSkVCWFZUTUxheXJNX0hkbGgzWkVubjdPaEdnV1hBaXI5cUp6dDk0bw?oc=5" TargetMode="External"/><Relationship Id="rId22" Type="http://schemas.openxmlformats.org/officeDocument/2006/relationships/hyperlink" Target="https://news.google.com/rss/articles/CBMinAFBVV95cUxOUkZHM1dvU2ZGWWhlWm9QWndsSkJjMk1BY2t3TmdXZW1PVXZJNDRJR2xnQ2diZXQ1bEdOYm5iam9PZVJjMUE2c1phRk1IeWhKT2M0N1lLTHl1RkJUUHpWX0VPWEZLbWNraDB3Q2hXb0FOd3VsMVo5b2hqUTV2UVAxOUM3bWpyZHFSNVVKX0JzazFjbUxQSTVSSloxdC0?oc=5" TargetMode="External"/><Relationship Id="rId23" Type="http://schemas.openxmlformats.org/officeDocument/2006/relationships/hyperlink" Target="https://news.google.com/rss/articles/CBMigAFBVV95cUxNWVZEVV9nUkJGZ3VZX3ozQ3VzM2RDR1VqOFZmNkQxUExoeDc5TGt4WW45MC1UZktBSUk4TFRsdUJEZmtocElnODVnNUVhYkFsYUdONWdyWUg5OHk1Q0hjUy1VQmw0TWwtTVMyOEFMQVlQb2UzYUtrRlNaY1VDdHpLdw?oc=5" TargetMode="External"/><Relationship Id="rId24" Type="http://schemas.openxmlformats.org/officeDocument/2006/relationships/hyperlink" Target="https://news.google.com/rss/articles/CBMi6AFBVV95cUxPTl93THFUaE0tcTY3aGJraFI5MjFPM2pEWVc2ZTNwblRSMFhTNXhuVkVfajRUcnpXU0hpcHZ4am0yYVZEZkFEUVVwQ09KOVZVeFBPSEk0MDVEY0pMSlMyLUJuZzYzeVBhRnBUWHJfSERvS19RLTluTkE4RDBhdkIxVnZLVGxZUHVodm5sNkx6bFB3Zi1WRTJsZ0lPUmtuWDMyanlFM1o0RGNyNUZ1aVd2ekFPZExic3MtUDlRTi1Fam5nMFB5SnczcEpJcnRBeTJzR0x6Y1NNSWVBZS1zQ2hpNkZmZXFMUzdO?oc=5" TargetMode="External"/><Relationship Id="rId25" Type="http://schemas.openxmlformats.org/officeDocument/2006/relationships/hyperlink" Target="https://news.google.com/rss/articles/CBMinwFBVV95cUxOWFJJemJfbjZNY3FzSGFmeDQ1STBJNzlYVVc5bDlScjIxNkZaR3JRQnFaSTB1S0FiS2JrS1dpMlU5YWhJbmFPYm45WEVTRmF5azhtWS1MdjdZaDFqMklMWEVKTE9rU2hJMmFzQVY2UTJDY1ZCWFZleXhGbm5Hd21OOTd0bzIwQWtRVkYxWEdKR3F5a3lwUk9LVDhzdXF6QjA?oc=5" TargetMode="External"/><Relationship Id="rId26" Type="http://schemas.openxmlformats.org/officeDocument/2006/relationships/hyperlink" Target="https://news.google.com/rss/articles/CBMi1wFBVV95cUxOU0FicW1TVjdqQ3JwOXN6WW0yb2E0LWtOc1huRFVXOEl3bjZkcUxHSzNSUnNSRlJwWEU4UlRYb0RNRmphTnZ6ZWRFYUZEQTQ3Z1YwVmk4NkpXSmZKMmhnWDJONC1Hd0owQ3VjQmltT29pbWpwNi1pRFB5UUs2SkZzZ19FMHFHOURZTWt5cndSSkJWNDJlRGhFZ0ljb1FuUzlUeW05bTM4RW1FVENPYTBhcnlPeENSeHp3ckMzWUV6R1FvbEhXbWNPalRNN09zQzBkZVVLQzQ3bw?oc=5" TargetMode="External"/><Relationship Id="rId27" Type="http://schemas.openxmlformats.org/officeDocument/2006/relationships/hyperlink" Target="https://news.google.com/rss/articles/CBMilgFBVV95cUxNaXd5Qi0wUGtKbUlvSUtDY0RkdXRyTDN0Y3kxTmtxMTQ1cm9ZdDdwTUZJWGk1Z043M0pYLUFmWHZtb2FnRDZERkIwbHFqczJwaVZhem1DVTVFQUh4b2hXSVFtaUpPVEtPLVpReDRPSUVuVGUwRDU4bjctRkRkMWxxaU1CenQ2cFdYdDVIUXZMazdCd3JQR3c?oc=5" TargetMode="External"/><Relationship Id="rId28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