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1H2026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Luminor Bank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3Q 2026 interim report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Kapitalas ir likvidumas gerokai viršija reikalavimus, o Moody's po OTP Bank sandorio paskelbimo reitingą paliko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sumažėjo maždaug penktadaliu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7,75 % obligacija XS2633112565 išpirkta 2026 m. birželį ir nebėra apyvartoje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37,4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19,0 %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7,7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0,9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rodiklis</w:t>
            </w:r>
            <w:r>
              <w:rPr>
                <w:b w:val="0"/>
                <w:color w:val="5F6B7A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19,6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187,0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23,7 p. p. vs 1H2025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1H2025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1H2026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19,6 %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9,9 %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2,1 %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klientams 11 903,2 mln. EUR (+3,6 % nuo 2025 m. pab.), indėliai 12 275,5 mln. EUR (+6,6 %; pokyčiai apskaičiuoti įrankio)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1H – 214,4 mln. EUR; grynoji palūkanų marža 2,70 % (2025 m. – 2,71 %)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65,5 % (2025 m. – 64,7 %); rizikos kaina 0,14 % (0,01 %); neveiksnios paskolos 2,1 % (2,0 %)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1H 2026 išmokėta 74,0 mln. EUR dividendų už 2025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157,7 mln. EUR (2024 m. – 202,2 mln., −22,0 %), ROE 8,6 %, CET1 20,2 %, bendras kapitalas 24,6 %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 2026 išleista 500 mln. EUR SNP; Moody's reitingą patvirtino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Numatyta IV ketv.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2026-10-13 Europos Komisija leido OTP Bank įsigyti Luminor Holding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Dėmesio – pirkėjo ryšiai su Rusija:</w:t>
      </w:r>
      <w:r>
        <w:rPr>
          <w:b w:val="0"/>
        </w:rPr>
        <w:t xml:space="preserve"> 2026-09-28–29 spauda (remdamasi Bloomberg) rašė, kad tarp OTP klientų yra su „Gazprom“ siejamų įmonių ir kad OTP svarsto visiškai pasitraukti iš Rusijos. Tai susiję su pirkėju OTP, ne su Luminor veikla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color w:val="2A78D6"/>
          <w:vertAlign w:val="superscript"/>
        </w:rPr>
        <w:t>,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2026-09-26 Latvijos spauda rašė, kad Luminor Bank anuliuoja 500 mln. EUR vertės obligacijas; kurios emisijos – antraštėje nenurodyta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EN, EE, LT, LV), 2026-07-24 – 2026-10-22: 27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5F6B7A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European Commission clears Luminor deal for OTP Bank stock</w:t>
              </w:r>
            </w:hyperlink>
            <w:r>
              <w:rPr>
                <w:b w:val="0"/>
                <w:color w:val="5F6B7A"/>
                <w:sz w:val="15"/>
              </w:rPr>
              <w:t xml:space="preserve">   AD HOC NEWS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5F6B7A"/>
                <w:sz w:val="15"/>
              </w:rPr>
              <w:t xml:space="preserve">   AD HOC NEWS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„Luminor“ grupę siekiantis įsigyti Vengrijos bankas OTP svarsto trauktis iš Rusijos</w:t>
              </w:r>
            </w:hyperlink>
            <w:r>
              <w:rPr>
                <w:b w:val="0"/>
                <w:color w:val="5F6B7A"/>
                <w:sz w:val="15"/>
              </w:rPr>
              <w:t xml:space="preserve">   LRT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5F6B7A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„Luminor“ mažmeninei bankininkystei pradeda vadovauti Ieva Linkutė-Urbonė</w:t>
              </w:r>
            </w:hyperlink>
            <w:r>
              <w:rPr>
                <w:b w:val="0"/>
                <w:color w:val="5F6B7A"/>
                <w:sz w:val="15"/>
              </w:rPr>
              <w:t xml:space="preserve">   LRT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A1A1A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5F6B7A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A1A1A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5F6B7A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A1A1A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5F6B7A"/>
                <w:sz w:val="15"/>
              </w:rPr>
              <w:t xml:space="preserve">   Infoerdve.lt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A1A1A"/>
                  <w:sz w:val="18"/>
                </w:rPr>
                <w:t xml:space="preserve">Luminor lends €1.1M to fast-growing Latvian timber firm Rēzeknes Mežs</w:t>
              </w:r>
            </w:hyperlink>
            <w:r>
              <w:rPr>
                <w:b w:val="0"/>
                <w:color w:val="5F6B7A"/>
                <w:sz w:val="15"/>
              </w:rPr>
              <w:t xml:space="preserve">   Dealroom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auga (2025 m. – 305,4 mln. EUR)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viešuose šaltiniuose ir naujienose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dėl pinigų plovimo prevencijos neskelbta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2025 m. priežiūros pastaba – Finantsinspektsioon nurodymas dėl bazinių mokėjimo paslaugų tvarkos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Oy – Suomijos logistikos įmonė, susijusi su Siberica Oy (pagal ES sąrašo įrašą apie Gabriel Temin), ne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Logistics – slapyvardis tame pačiame US OFAC įrašų rinkinyje kaip Luminor Oy ir Siberica Oy (logistika), ne Luminor Bank AS.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pačią Luminor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Dauguma naujienų – apie OTP Bank sandorį.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2026-09-28–29 spauda rašė apie pirkėjo OTP klientų sąsajas su Rusija – tai susiję su pirkėju, ne su Luminor veikla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27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2025 m. – 305,4 mln. EUR (2024 m. – 182,4 mln.), tikslas – 700 mln. EUR iki 2030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skaičiuojamos PCAF metodu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portfelio, tikslas – 50 % iki 2030 m.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Gavus leidimus savininku taps OTP Bank (Vengrija)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Valdymo ar tarptautinių normų pažeidimų nerasta (greita paieška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atskleidžiamos pagal PCAF (3 apimtis – 3,2 mln. t CO2e 2025 m.)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305,4 mln. EUR, tikslas – 700 mln. EUR iki 2030 m.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gerbti žmogaus teises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PPTFP ir sankcijų atitiktis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priemonės ir pranešėjų kanalai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 skolinimo išimčių sąrašo (anglis, nafta ir dujos, ginklai) ir narystės JT Pasauliniame susitarime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kapitalas, likvidumas ir ESG praktika – tvirti.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(3 apimtis) 2025 m. – 3,2 mln. t CO2e, PCAF metodas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stebėtojų taryboje – 33,3 % (tikslas 40 %)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18,4, maža rizika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47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4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9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50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51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Luminor Bank · 1H2026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Luminor Bank · 1H2026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Luminor Bank</w:t>
    </w:r>
    <w:r>
      <w:rPr>
        <w:b w:val="0"/>
        <w:color w:val="5F6B7A"/>
        <w:sz w:val="16"/>
      </w:rPr>
      <w:tab/>
      <w:t>Emitento apžvalga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4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5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6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7" Type="http://schemas.openxmlformats.org/officeDocument/2006/relationships/hyperlink" Target="https://news.google.com/rss/articles/CBMivgFBVV95cUxQS0I2c1pwLWJmc0FBMnlvekktZUZiLUcxMy1aLS1TMU1sZlo0bnBLa0lyMGtwVFBYRFZFQ1JwM3hUTElmMEdYcFUtUWt6R01iU2dKdVA1ZXRJZ0RNekhTU0VBbjlabWlaRnU1NXYzYmZtcXpRZ0t5Xy15UHlwNzVOODcxeVNiVnVrQTVlSVV2Y3NQRkpCaTktLVFIWldhZElsaTM5cGl4bXVrS1p1MmZneFk4UlZMRGMtb1NUR01R?oc=5" TargetMode="External"/><Relationship Id="rId38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39" Type="http://schemas.openxmlformats.org/officeDocument/2006/relationships/hyperlink" Target="https://news.google.com/rss/articles/CBMixwFBVV95cUxPSXFLcVNjbUNOa0tfOU5rU0JMaFMyTzE4aGF0eWR4RTlSekJiMFF3R2MzajFEb1BTTWZRZk16LW1WWXBxaVVPNVljb2pHcGZKLVNXa0NkMGlHWjVPanZkQlVjM1daZ1FLdGY2dG1nNmZFYUJUWTZoQ3hQbkFhVHI1aEVHWVlQWWRkOU5wWXNSY3BzdzlGcV8tbUJuYUlkOS1vTXRvTlZDbVd0TU5JdVN1aFZDZFZFMi1SNS1uRXBYVHE4aUZDZHc4?oc=5" TargetMode="External"/><Relationship Id="rId40" Type="http://schemas.openxmlformats.org/officeDocument/2006/relationships/hyperlink" Target="https://news.google.com/rss/articles/CBMiugFBVV95cUxNTnNwYlVVaTVnVFR5TTZfa2lCNU4yeGt2dHV1Z054bVdSXzlYc082NGhVRElwaEJUaHlZYTYtc0pjVG1ZcUNWY3FTd2pPQ0dxOGRBY0VHVWFmX05ROGlvU3ZrWTF0c3AxSTJXWEhTb3VlZ0k2UXRSM0JtaFdNdzJ6RGNVZHRyX1o3YTVDVUxONjdMS1RCWVV0VURyd25lLU1RU0RDOXMwTUZzR1BsNmhjUmtiR29aM2JoZnc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4" Type="http://schemas.openxmlformats.org/officeDocument/2006/relationships/hyperlink" Target="https://news.google.com/rss/articles/CBMipAFBVV95cUxQNFFiZ25yd1FDSmtLVlo1VEZ5S0dFQU5KNS16NFcycW10cUtWblN6em1Pd19fNGUxbW8zS0NYbml4RWRWRDJRRk1GTDRqZm9pSjVHenl4S2RqTmpVSHFSMlZydFA2aWtGMEVDcTU0QUFMWW9CbnhaM1Qyb1k1Yi1Qa1BvenhJVnJOc3dGc0gwNXgtNUxGR1VjVm5ncVhjdkJDd1FtNg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luminor.lv/sites/default/files/docs/finansu_parskati/luminor_bank_annual_report_2025-lv.pdf#page=22" TargetMode="External"/><Relationship Id="rId48" Type="http://schemas.openxmlformats.org/officeDocument/2006/relationships/hyperlink" Target="https://sebgroup.com/sustainability/our-sustainability-strategy/policies" TargetMode="External"/><Relationship Id="rId49" Type="http://schemas.openxmlformats.org/officeDocument/2006/relationships/hyperlink" Target="https://luminor.lv/sites/default/files/docs/finansu_parskati/luminor_bank_annual_report_2025-lv.pdf#page=18" TargetMode="External"/><Relationship Id="rId50" Type="http://schemas.openxmlformats.org/officeDocument/2006/relationships/hyperlink" Target="https://luminor.lv/sites/default/files/docs/finansu_parskati/luminor_bank_annual_report_2025-lv.pdf#page=23" TargetMode="External"/><Relationship Id="rId51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