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Maxima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2 026,4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2,0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147,4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apskaičiuota įrankio),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522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82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LT, LV), 2026-07-24 – 2026-10-22: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5F6B7A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5F6B7A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5F6B7A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A1A1A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5F6B7A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A1A1A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5F6B7A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A1A1A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5F6B7A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5F6B7A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5F6B7A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spacing w:before="40" w:after="0"/>
            </w:pPr>
            <w:r>
              <w:rPr>
                <w:b/>
                <w:color w:val="B42318"/>
                <w:sz w:val="18"/>
              </w:rPr>
              <w:t>Reikia peržiūrėti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Galimas atitikmuo – peržiūrėti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EU: c pe ac iuni dalpribor | dalpribor nyilv nosan m k d r szv nyt rsas g |  |  |  | maxima llc | maxima legal limited liability company |  |  | amaocr | aruba maritime a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Maxima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Maxima Grupė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