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40"/>
              </w:rPr>
              <w:t>Valstybės investicinis kapitalas (VIK)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1B7F3B"/>
                <w:sz w:val="19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Fitch A+ on the EUR 400m bond programme, linked to Lithuania's rating through the state guarantee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9M 2026 interim report - expected November 2026</w:t>
            </w:r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Pozicija tvarkinga.</w:t>
            </w:r>
            <w:r>
              <w:rPr>
                <w:b w:val="0"/>
                <w:color w:val="1A1A1A"/>
                <w:sz w:val="21"/>
              </w:rPr>
              <w:t xml:space="preserve"> VIK 100 % priklauso valstybei, obligacijų programai Fitch suteikė A+ reitingą, susietą su valstybės garantija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I pusm. pelnas 7,1 mln. EUR, nuosavo kapitalo dalis 70 % (apskaičiuota įrankio)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Turtas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169,4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7,4 %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Nuosavas kapitalas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118,9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10,2 %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Nuosavo kapitalo dalis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70,1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11,1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Grynasis pelnas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7,13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9 012,5 % vs 6M2025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Valstybės gynybos investuotojas:</w:t>
      </w:r>
      <w:r>
        <w:rPr>
          <w:b w:val="0"/>
        </w:rPr>
        <w:t xml:space="preserve"> VIK finansuoja Lietuvos gynybos pramonę ir kitus strateginius sektorius; pagrindinis projektas – Rheinmetall amunicijos gamykla Baisogaloje (VIK investicija iki 71,05 mln. EUR)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Reitingas pagerėjo:</w:t>
      </w:r>
      <w:r>
        <w:rPr>
          <w:b w:val="0"/>
        </w:rPr>
        <w:t xml:space="preserve"> Fitch obligacijų programai suteikė A+ – aukščiausią iki šiol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Pinigai grįžta iš Verslo paramos fondo:</w:t>
      </w:r>
      <w:r>
        <w:rPr>
          <w:b w:val="0"/>
        </w:rPr>
        <w:t xml:space="preserve"> iš 200 mln. EUR grąžinta 120,5 mln. EUR (60 %), likusieji – iki 2028 m. vidurio; 2026-07-02 gauta dar 22 mln. EUR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mažėja:</w:t>
      </w:r>
      <w:r>
        <w:rPr>
          <w:b w:val="0"/>
        </w:rPr>
        <w:t xml:space="preserve"> iš 125 mln. EUR išleistų obligacijų 75 mln. EUR jau išpirkta</w:t>
      </w:r>
      <w:hyperlink r:id="rId16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513"/>
        <w:gridCol w:w="2241"/>
        <w:gridCol w:w="840"/>
        <w:gridCol w:w="1120"/>
        <w:gridCol w:w="1569"/>
        <w:gridCol w:w="2353"/>
      </w:tblGrid>
      <w:tr>
        <w:tc>
          <w:tcPr>
            <w:tcW w:type="dxa" w:w="151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2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Priemonė</w:t>
            </w:r>
          </w:p>
        </w:tc>
        <w:tc>
          <w:tcPr>
            <w:tcW w:type="dxa" w:w="8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Kuponas</w:t>
            </w:r>
          </w:p>
        </w:tc>
        <w:tc>
          <w:tcPr>
            <w:tcW w:type="dxa" w:w="112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Išpirkimas</w:t>
            </w:r>
          </w:p>
        </w:tc>
        <w:tc>
          <w:tcPr>
            <w:tcW w:type="dxa" w:w="1569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Emisijos reitingas</w:t>
            </w:r>
          </w:p>
        </w:tc>
        <w:tc>
          <w:tcPr>
            <w:tcW w:type="dxa" w:w="235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Pastaba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LT0000406613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Valst. inv. kap. 2.826% 5Y bond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2,826 %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2027-06-30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Senior; listed 2022-07-04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LT0000135436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Valst. inv. kap. 3.119% 4Y bond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3,119 %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2029-09-24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Defence bond under the EUR 400m programme (Fitch A+); proceeds to the Rheinmetall project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Rodiklis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FY2024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214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162,3*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182,9*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169,4*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7,4 %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108,0*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111,7*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107,9*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118,9*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10,2 %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51,8 %ᶜ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68,9 %ᶜ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59,0 %ᶜ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70,1 %ᶜ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11,1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8,14*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-0,08*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7,13*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7,21 EURm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_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VIK įsigijo 49 % EPSO-G Invest (36,3 mln. EUR), kuri valdo 48 % Rheinmetall Defence Lietuva; gamyklos statyba pradėta 2025-11-04</w:t>
      </w:r>
      <w:hyperlink r:id="rId16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 m. pasirašytas memorandumas su Rheinmetall Landsysteme ir KNDS Deutschland dėl ~50 mln. EUR techninės priežiūros centro Kauno LEZ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2026-02 akcininkas nusprendė perduoti VIK akcijas valstybės valdomai ILTE (reikia Vyriausybės pritarimo)</w:t>
      </w:r>
      <w:hyperlink r:id="rId22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Turtas 169,4 mln. EUR, nuosavas kapitalas 118,9 mln. EUR; I pusm. pelnas 7,1 mln. EUR, daugiausia dėl 8,0 mln. EUR tikrosios vertės padidėjimo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pelnas 3,8 mln. EUR (2024 m. – 8,1 mln.); išleistų obligacijų likutis 2026-06-30 – apie 50,6 mln. EUR (apskaičiuota įrankio)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Planas / tikslas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Rezultatas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Kas pasikeitė ir kodėl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Grąžinti visą 200 mln. EUR Verslo paramos fondo investiciją iki 2028 m. vidurio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Grąžinta 120,5 mln. EUR (60 %)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 pagal planą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Investuoti iki 71,05 mln. EUR į Rheinmetall Defence Lietuva projektą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 m. investuota 36 mln. EUR; statyba vyksta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Vykdoma; finansuojama ir 25 mln. EUR gynybos obligacijomis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priemonės:</w:t>
      </w:r>
      <w:r>
        <w:rPr>
          <w:b w:val="0"/>
        </w:rPr>
        <w:t xml:space="preserve"> 2,826 % obligacija, išpirkimas 2027-06-30 (Nasdaq Vilnius nuo 2022-07-04), ir 3,119 % gynybos obligacija – 25 mln. EUR, išleista 2025-09-24, išpirkimas 2029-09-24; jos lėšos visos skirtos Rheinmetall projektui</w:t>
      </w:r>
      <w:hyperlink r:id="rId2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color w:val="2A78D6"/>
          <w:vertAlign w:val="superscript"/>
        </w:rPr>
        <w:t>,</w:t>
      </w:r>
      <w:hyperlink r:id="rId24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Kredito rizika artima valstybės:</w:t>
      </w:r>
      <w:r>
        <w:rPr>
          <w:b w:val="0"/>
        </w:rPr>
        <w:t xml:space="preserve"> obligacijų įsipareigojimams suteikta valstybės garantija, todėl Fitch A+ reitingas susietas su Lietuvos reitingu</w:t>
      </w:r>
      <w:hyperlink r:id="rId1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rizika maža – valstybės nuosavybė ir garantija, mažėjanti skola, grįžtančios fondo lėšos.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Ką rašo spauda</w:t>
      </w:r>
    </w:p>
    <w:p>
      <w:pPr>
        <w:spacing w:before="40" w:after="60"/>
      </w:pPr>
      <w:r>
        <w:rPr>
          <w:b w:val="0"/>
          <w:color w:val="5F6B7A"/>
          <w:sz w:val="18"/>
        </w:rPr>
        <w:t>Automatinė naujienų paieška (Google News, LT), 2026-07-24 – 2026-10-22: 2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6">
              <w:r>
                <w:rPr>
                  <w:color w:val="1A1A1A"/>
                  <w:sz w:val="18"/>
                </w:rPr>
                <w:t xml:space="preserve">bendrovei UAB „Valstybės investicinis kapitalas“ numatomas išskirtinis vaidmuo skatinant kapitalo rinkas bei mobilizuojant investicijas gynybos sektoriuje</w:t>
              </w:r>
            </w:hyperlink>
            <w:r>
              <w:rPr>
                <w:b w:val="0"/>
                <w:color w:val="5F6B7A"/>
                <w:sz w:val="15"/>
              </w:rPr>
              <w:t xml:space="preserve">   Lietuvos Respublikos Vyriausybė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7">
              <w:r>
                <w:rPr>
                  <w:color w:val="1A1A1A"/>
                  <w:sz w:val="18"/>
                </w:rPr>
                <w:t xml:space="preserve">„Valstybės investicinis kapitalas“ nebus prijungtas prie ILTE</w:t>
              </w:r>
            </w:hyperlink>
            <w:r>
              <w:rPr>
                <w:b w:val="0"/>
                <w:color w:val="5F6B7A"/>
                <w:sz w:val="15"/>
              </w:rPr>
              <w:t xml:space="preserve">   15min.lt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Kontroversiškų ar branduolinių ginklų nėra.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VIK investuoja į įprastinę gynybos pramonę (Rheinmetall amunicijos gamykla Lietuvoje)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ginklų ir gynybos politika riboja tik kontroversiškus ginklus, branduolinius ginklus ne NATO šalyse, civilinius pusiau automatinius ginklus ir nelicencijuotą prekybą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2026-07-24 – 2026-10-22: 2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VIK nurodo, kad tvarumas nėra pagrindinis jos tikslas – prioritetas yra gynyba ir saugumas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ar taksonomijos tikslų nėra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Žalieji pirkimai per CPO LT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Taikomas Nasdaq Vilnius valdysenos kodeksas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 xml:space="preserve"> ir ginklų bei gynybos politika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Investicijos į licencijuotą gynybos gamybą NATO šalyje, be kontroversiškų ar branduolinių ginklų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Valdysenos kodeksas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politikos viešai nerasta.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valstybės įmonė su aiškiu gynybos mandatu.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Nuosavų patalpų ir turto VIK neturi, todėl tiesioginis poveikis aplinkai nedidelis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Fondui svarbiausias PAI rodiklis – ginklų sektoriaus poveikis: tik įprastiniai ginklai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Investuoja į įprastinę gynybos pramonę (leidžiama pagal SEB politiką); tvarumas nėra prioritetas.</w:t>
      </w:r>
    </w:p>
    <w:p>
      <w:pPr>
        <w:spacing w:before="40" w:after="60"/>
      </w:pPr>
      <w:r>
        <w:rPr>
          <w:b w:val="0"/>
          <w:color w:val="5F6B7A"/>
          <w:sz w:val="16"/>
        </w:rPr>
        <w:t>Taikytos SEB politikos: Policy on Sustainability Considerations in Investments (SEB AB); Arms and Defence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VIK - Interim report 6M 2026 (unaudited), p. 10,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VIK - Interim report 6M 2026 (unaudited), p. 9-10,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VIK - Interim report 6M 2026 (unaudited), p. 20-21,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VIK - Interim report 6M 2026 (unaudited), p. 4,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VIK - Annual report 2025 (audited), p. 5,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2">
        <w:r>
          <w:rPr>
            <w:color w:val="2A78D6"/>
            <w:sz w:val="17"/>
          </w:rPr>
          <w:t xml:space="preserve">VIK - Interim report 6M 2026 (unaudited),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VIK - Interim report 6M 2026 (unaudited), p. 8,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VIK - Annual report 2025 (audited),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6">
        <w:r>
          <w:rPr>
            <w:color w:val="2A78D6"/>
            <w:sz w:val="17"/>
          </w:rPr>
          <w:t xml:space="preserve">VIK - Annual report 2025 (audited), p. 5,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VIK - Interim report 6M 2025, p. 3, 2025-08-25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VIK - Annual report 2025 (audited),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14">
        <w:r>
          <w:rPr>
            <w:color w:val="2A78D6"/>
            <w:sz w:val="17"/>
          </w:rPr>
          <w:t xml:space="preserve">VIK - Interim report 6M 2026 (unaudited),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16">
        <w:r>
          <w:rPr>
            <w:color w:val="2A78D6"/>
            <w:sz w:val="17"/>
          </w:rPr>
          <w:t xml:space="preserve">VIK - Annual report 2025 (audited), p. 5, 8-9,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VIK - Annual report 2025 (audited),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VIK - Interim report 6M 2025, p. 5, 2025-08-25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17">
        <w:r>
          <w:rPr>
            <w:color w:val="2A78D6"/>
            <w:sz w:val="17"/>
          </w:rPr>
          <w:t xml:space="preserve">VIK - Interim report 6M 2026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24">
        <w:r>
          <w:rPr>
            <w:color w:val="2A78D6"/>
            <w:sz w:val="17"/>
          </w:rPr>
          <w:t xml:space="preserve">VIK - Interim report 6M 2026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25">
        <w:r>
          <w:rPr>
            <w:color w:val="2A78D6"/>
            <w:sz w:val="17"/>
          </w:rPr>
          <w:t xml:space="preserve">VIK - Annual report 2025 (audited), p. 11,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17">
        <w:r>
          <w:rPr>
            <w:color w:val="2A78D6"/>
            <w:sz w:val="17"/>
          </w:rPr>
          <w:t xml:space="preserve">VIK - Interim report 6M 2026 (unaudited), p. 8,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SEB Arms and Defence sector policy (2026-04-23), p. 5,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VIK - Interim report 6M 2026 (unaudited), p. 13-14,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VIK - Interim report 6M 2026 (unaudited),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VIK - Interim report 6M 2026 (unaudited), p. 35,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24.</w:t>
        <w:tab/>
      </w:r>
      <w:hyperlink r:id="rId28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25.</w:t>
        <w:tab/>
      </w:r>
      <w:hyperlink r:id="rId32">
        <w:r>
          <w:rPr>
            <w:color w:val="2A78D6"/>
            <w:sz w:val="17"/>
          </w:rPr>
          <w:t xml:space="preserve">VIK - Annual report 2025 (audited), p. 8, 2026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Valstybės investicinis kapitalas (VIK)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Valstybės investicinis kapitalas (VIK)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Valstybės investicinis kapitalas (VIK)</w:t>
    </w:r>
    <w:r>
      <w:rPr>
        <w:b w:val="0"/>
        <w:color w:val="5F6B7A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vika/2026_q2_en_esef.pdf#page=10" TargetMode="External"/><Relationship Id="rId13" Type="http://schemas.openxmlformats.org/officeDocument/2006/relationships/hyperlink" Target="https://nasdaqbaltic.com/market/upload/reports/vika/2026_q2_en_esef.pdf#page=9" TargetMode="External"/><Relationship Id="rId14" Type="http://schemas.openxmlformats.org/officeDocument/2006/relationships/hyperlink" Target="https://nasdaqbaltic.com/market/upload/reports/vika/2026_q2_en_esef.pdf#page=20" TargetMode="External"/><Relationship Id="rId15" Type="http://schemas.openxmlformats.org/officeDocument/2006/relationships/hyperlink" Target="https://nasdaqbaltic.com/market/upload/reports/vika/2026_q2_en_esef.pdf#page=4" TargetMode="External"/><Relationship Id="rId16" Type="http://schemas.openxmlformats.org/officeDocument/2006/relationships/hyperlink" Target="https://nasdaqbaltic.com/market/upload/reports/vika/2025_ar_en_esef.pdf#page=5" TargetMode="External"/><Relationship Id="rId17" Type="http://schemas.openxmlformats.org/officeDocument/2006/relationships/hyperlink" Target="https://nasdaqbaltic.com/market/upload/reports/vika/2026_q2_en_esef.pdf#page=8" TargetMode="External"/><Relationship Id="rId18" Type="http://schemas.openxmlformats.org/officeDocument/2006/relationships/hyperlink" Target="https://nasdaqbaltic.com/market/upload/reports/vika/2025_ar_en_esef.pdf#page=7" TargetMode="External"/><Relationship Id="rId19" Type="http://schemas.openxmlformats.org/officeDocument/2006/relationships/hyperlink" Target="https://nasdaqbaltic.com/market/upload/reports/vika/2025_q2_en_con.pdf#page=3" TargetMode="External"/><Relationship Id="rId20" Type="http://schemas.openxmlformats.org/officeDocument/2006/relationships/hyperlink" Target="https://nasdaqbaltic.com/market/upload/reports/vika/2025_ar_en_esef.pdf#page=22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nasdaqbaltic.com/market/upload/reports/vika/2025_ar_en_esef.pdf#page=14" TargetMode="External"/><Relationship Id="rId23" Type="http://schemas.openxmlformats.org/officeDocument/2006/relationships/hyperlink" Target="https://nasdaqbaltic.com/market/upload/reports/vika/2025_q2_en_con.pdf#page=5" TargetMode="External"/><Relationship Id="rId24" Type="http://schemas.openxmlformats.org/officeDocument/2006/relationships/hyperlink" Target="https://nasdaqbaltic.com/market/upload/reports/vika/2026_q2_en_esef.pdf#page=17" TargetMode="External"/><Relationship Id="rId25" Type="http://schemas.openxmlformats.org/officeDocument/2006/relationships/hyperlink" Target="https://nasdaqbaltic.com/market/upload/reports/vika/2025_ar_en_esef.pdf#page=11" TargetMode="External"/><Relationship Id="rId26" Type="http://schemas.openxmlformats.org/officeDocument/2006/relationships/hyperlink" Target="https://news.google.com/rss/articles/CBMiuAJBVV95cUxNYlhuaGpJMk9Od0lWNTRnZUFSSEZsQXd4eUIxT1d0U05aX2tZbnhMaWRPRXJRSlM3Ykp0OE9lS0VCeWJMaTlWQlR3aEd2QUpCbUtXZWpFRUo0Ul9kWFJHb2lYWmJtVGxubWR5TWtOelBCUzU5czF5d1NrMTk2UGYzQnNuVU1KcDNwVERRcG1Lc2JpZVlFN3EtTGRON09JMkhBYzRPQzd4MkVIQm1NUW9RTkVOVVBONld2Z2FsOWllc2Y0WEJ5dDNXdW9xcXBMdTl2dUV0SnM1R1lmemxVekFPWDlYaHFIZXNJT3o2YlBId3JjSnV6TFdZSUNlNzR4NmhQMzVPa29LLXYtdnNVSS12N3l6clVlenVENlFuekpSRzVYMDZ5T3dxR1NERWJnSnBNUklJZkx1SkY?oc=5" TargetMode="External"/><Relationship Id="rId27" Type="http://schemas.openxmlformats.org/officeDocument/2006/relationships/hyperlink" Target="https://news.google.com/rss/articles/CBMiugFBVV95cUxNcnNrWmpNZ1ZaRVh5Ym45UWpkaUYybjJKX0ZFQkJhZnBJb192cXNFdXNaT0NHVTI1eWhqWGxsNjJxUGV0azc2am9vTFRJLXZ2V1BzX241N0ZqSTB0Sl9ISmhLUjE3ZGRnY183MFVYYVhpR1BFeXJOaDlncWh5V1ZLa09HdkpPcVh4TWxacXBCajkwdDhMbE0xbVZrNXYzdEV0V0o5a3JWUlB0eGp2UlItcUR2LVlaSVEtUHc?oc=5" TargetMode="External"/><Relationship Id="rId28" Type="http://schemas.openxmlformats.org/officeDocument/2006/relationships/hyperlink" Target="https://sebgroup.com/sustainability/our-sustainability-strategy/policies" TargetMode="External"/><Relationship Id="rId29" Type="http://schemas.openxmlformats.org/officeDocument/2006/relationships/hyperlink" Target="https://nasdaqbaltic.com/market/upload/reports/vika/2026_q2_en_esef.pdf#page=13" TargetMode="External"/><Relationship Id="rId30" Type="http://schemas.openxmlformats.org/officeDocument/2006/relationships/hyperlink" Target="https://nasdaqbaltic.com/market/upload/reports/vika/2026_q2_en_esef.pdf#page=14" TargetMode="External"/><Relationship Id="rId31" Type="http://schemas.openxmlformats.org/officeDocument/2006/relationships/hyperlink" Target="https://nasdaqbaltic.com/market/upload/reports/vika/2026_q2_en_esef.pdf#page=35" TargetMode="External"/><Relationship Id="rId32" Type="http://schemas.openxmlformats.org/officeDocument/2006/relationships/hyperlink" Target="https://nasdaqbaltic.com/market/upload/reports/vika/2025_ar_en_esef.pdf#page=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