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Emitento apžvalga · 1H2026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Kapitalas ir likvidumas gerokai viršija reikalavimus, o Moody's po OTP Bank sandorio paskelbimo reitingą paliko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Pelnas sumažėjo maždaug penktadaliu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7,75 % obligacija XS2633112565 išpirkta 2026 m. birželį ir nebėra apyvartoje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37,4 mln. EUR</w:t>
            </w:r>
          </w:p>
          <w:p>
            <w:r>
              <w:rPr>
                <w:color w:val="5F6B7A"/>
                <w:sz w:val="16"/>
              </w:rPr>
              <w:t>▼ 19,0 %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7,7 %</w:t>
            </w:r>
          </w:p>
          <w:p>
            <w:r>
              <w:rPr>
                <w:color w:val="5F6B7A"/>
                <w:sz w:val="16"/>
              </w:rPr>
              <w:t>▼ 0,9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19,6 %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187,0 %</w:t>
            </w:r>
          </w:p>
          <w:p>
            <w:r>
              <w:rPr>
                <w:color w:val="5F6B7A"/>
                <w:sz w:val="16"/>
              </w:rPr>
              <w:t>▲ 23,7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sumažėjo maždaug penktadaliu:</w:t>
      </w:r>
      <w:r>
        <w:rPr>
          <w:b w:val="0"/>
        </w:rPr>
        <w:t xml:space="preserve"> 2026 m. I pusm. grynasis pelnas 72,0 mln. EUR, prieš metus – 91,6 mln.; vien II ketv. – 37,4 mln. EUR (46,2 mln.). Nuosavo kapitalo grąža 7,7 %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 gerokai viršija reikalavimus:</w:t>
      </w:r>
      <w:r>
        <w:rPr>
          <w:b w:val="0"/>
        </w:rPr>
        <w:t xml:space="preserve"> CET1 19,6 %, bendras kapitalas 23,7 %. MREL 36,34 % TREA, kai reikalaujama 23,69 % plius buferiai. Likvidumas: LCR 187,0 %, NSFR 142,3 %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Keičiasi savininkas:</w:t>
      </w:r>
      <w:r>
        <w:rPr>
          <w:b w:val="0"/>
        </w:rPr>
        <w:t xml:space="preserve"> 2026-07-20 paskelbta, kad OTP Bank įsigis 100 % Luminor iš Blackstone konsorciumo ir DNB. Laukiama priežiūros institucijų leidimų. Moody's reitingą ir perspektyvą paliko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Dalis kapitalo bus grąžinta:</w:t>
      </w:r>
      <w:r>
        <w:rPr>
          <w:b w:val="0"/>
        </w:rPr>
        <w:t xml:space="preserve"> 2026-07-17 ECB leido sumažinti CET1 kapitalą 200,0 mln. EUR; tikimasi IV ketv.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Pigesnis finansavimas:</w:t>
      </w:r>
      <w:r>
        <w:rPr>
          <w:b w:val="0"/>
        </w:rPr>
        <w:t xml:space="preserve"> grąžinta 300 mln. EUR pirmaeilė obligacija (MS+4,471 %) ir išleista pirmoji 500 mln. EUR senior non-preferred obligacija (MS+1,28 %)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XS3079969104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3.551% 2029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3,551 %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2029-06-12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2028-06-12, then 3M EURIBOR+1.55%</w:t>
            </w:r>
          </w:p>
        </w:tc>
      </w:tr>
      <w:tr>
        <w:tc>
          <w:tcPr>
            <w:tcW w:type="dxa" w:w="170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XS2888497067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Bank 4.042% 2028</w:t>
            </w:r>
          </w:p>
        </w:tc>
        <w:tc>
          <w:tcPr>
            <w:tcW w:type="dxa" w:w="964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4,042 %</w:t>
            </w:r>
          </w:p>
        </w:tc>
        <w:tc>
          <w:tcPr>
            <w:tcW w:type="dxa" w:w="1304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2028-09-10</w:t>
            </w:r>
          </w:p>
        </w:tc>
        <w:tc>
          <w:tcPr>
            <w:tcW w:type="dxa" w:w="3061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Senior preferred; callable at par 2027-09-10, then 3M EURIBOR+1.50%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XS2982074861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Luminor 7.375% perpetual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7,375 %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⚠ Perpetual, issued 2025-02-12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202,2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91,6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72,0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21,4 %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427,3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214,4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632,8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271,7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54,5 %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64,7 %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60,1 %ᶜ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65,5 %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Rizikos kaina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0,01 %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0,14 %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Grynoji palūkanų marža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3,33 %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2,84 %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2,70 %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10 535,4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11 491,4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10 820,5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11 903,2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11 352,7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11 510,7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11 240,5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12 275,5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9,2 %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20,2 %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20,6 %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19,6 %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22,7 %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25,2 %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23,7 %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9,9 %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35,54 %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36,34 %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205,1 %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174,6 %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163,3 %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187,0 %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23,7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143,6 %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134,1 %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133,8 %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142,3 %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8,5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Neveiksnių paskolų dalis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1,8 %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2,0 %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1,7 %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2,1 %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0,4 p. p. vs 1H2025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reikia patikrinti originale;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l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Paskolos klientams 11 903,2 mln. EUR (+3,6 % nuo 2025 m. pab.), indėliai 12 275,5 mln. EUR (+6,6 %; pokyčiai apskaičiuoti įrankio)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Grynosios palūkanų pajamos 1H – 214,4 mln. EUR; grynoji palūkanų marža 2,70 % (2025 m. – 2,71 %)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Sąnaudų / pajamų santykis 65,5 % (2025 m. – 64,7 %); rizikos kaina 0,14 % (0,01 %); neveiksnios paskolos 2,1 % (2,0 %)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1H 2026 išmokėta 74,0 mln. EUR dividendų už 2025 m.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grynasis pelnas 157,7 mln. EUR (2024 m. – 202,2 mln., −22,0 %), ROE 8,6 %, CET1 20,2 %, bendras kapitalas 24,6 %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2025 m. duomenys II ketv. ataskaitoje perskaičiuoti:</w:t>
      </w:r>
      <w:r>
        <w:rPr>
          <w:b w:val="0"/>
        </w:rPr>
        <w:t xml:space="preserve"> grynosios palūkanų pajamos 427,3 mln. EUR (metinėje – 419,8 mln.), visos pajamos 544,7 mln. (537,2 mln.)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Išleisti senior non-preferred obligacijas išlaikant dabartinį A2 reitingą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1H 2026 išleista 500 mln. EUR SNP; Moody's reitingą patvirtino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Įvykdyta: išleista 500 mln. EUR SNP (MS+1,28 %), o išpirkta 300 mln. EUR senior obligacija (MS+4,471 %) – finansavimas atpigo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Sumažinti CET1 kapitalą 200,0 mln. EUR (gautas leidimas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Numatyta IV ketv.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planas: ECB leidimas gautas 2026-07-17. Kapitalas gerokai viršija reikalavimus (CET1 19,6 %), todėl perteklius grąžinamas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Savininkai: Blackstone konsorciumas (80,05 %) ir DNB (19,95 %) (2025 m. ataskaita)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2026-07-20 paskelbtas pardavimas OTP Bank (100 %), laukiama leidimų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Pakeista: savininkai susitarė parduoti 100 % OTP Bank; Moody's po pranešimo reitingą ir perspektyvą patvirtino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Pakeista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Turimos priemonės:</w:t>
      </w:r>
      <w:r>
        <w:rPr>
          <w:b w:val="0"/>
        </w:rPr>
        <w:t xml:space="preserve"> dvi pirmaeilės (senior preferred) obligacijos – 4,042 % 2028 (emitento pirkimo teisė už nominalią vertę 2027-09-10) ir 3,551 % 2029 (pirkimo teisė 2028-06-12) – bei neterminuota 7,375 % obligacija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7,75 % 2027 obligacijos XS2633112565 pirkimo data buvo 2026-06-08, ir Luminor šią 300 mln. EUR obligaciją išpirko 2026 m. I pusm., todėl jos nebėra apyvartoje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Obligacijų turėtojams:</w:t>
      </w:r>
      <w:r>
        <w:rPr>
          <w:b w:val="0"/>
        </w:rPr>
        <w:t xml:space="preserve"> kapitalo ir MREL atsargos gerokai viršija reikalavimus, likvidumas padidėjo. 200 mln. EUR CET1 sumažinimas atsargą sumažins; bankas poveikio CET1 rodikliui šaltiniuose nenurodo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sandoris:</w:t>
      </w:r>
      <w:r>
        <w:rPr>
          <w:b w:val="0"/>
        </w:rPr>
        <w:t xml:space="preserve"> po pranešimo Moody's reitingą ir perspektyvą paliko, todėl poveikio reitingui kol kas nėra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Abi turimas pirmaeiles obligacijas emitentas gali išpirkti už nominalią vertę 2027 ir 2028 m.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pelningumas mažėja (pelnas −21 % per 1H), tačiau kapitalas, MREL ir likvidumas – su didelėmis atsargomis. Pagrindinis įvykis turėtojams – savininko keitimas į OTP. Stebėti: 3Q ataskaitą, OTP sandorio leidimus, kapitalo sumažinimą IV ketv.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Bankas nevykdo veiklos išskirtuose sektoriuose.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auga (2025 m. – 305,4 mln.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 JT Pasauliniu susitarimu ar OECD gairėmis susijusių ginčų viešuose šaltiniuose ir naujienose nerasta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Baudų dėl pinigų plovimo prevencijos neskelbta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Vienintelė 2025 m. priežiūros pastaba – Finantsinspektsioon nurodymas dėl bazinių mokėjimo paslaugų tvarkos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Nerasta EU, UN, UK, US OFAC konsoliduotuose sankcijų sąrašuose (automatinė patikra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Bendravardis sąrašuose: Luminor Oy – Suomijos logistikos įmonė, susijusi su Siberica Oy (pagal ES sąrašo įrašą apie Gabriel Temin), ne Luminor Bank AS.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Bendravardis sąrašuose: Luminor Logistics – slapyvardis tame pačiame US OFAC įrašų rinkinyje kaip Luminor Oy ir Siberica Oy (logistika), ne Luminor Bank AS.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naujienų paieška (paskutinės 30 d., 2026-10-22) neigiamų naujienų nerado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Dauguma naujienų – apie OTP Bank sandorį.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2025 m. – 305,4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(2024 m. – 182,4 mln.), tikslas – 700 mln.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skaičiuojamos PCAF metodu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Žalios ar su tvarumu susietos obligacijos sudaro 7,4 % obligacijų portfelio, tikslas – 50 %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Geltonų signalų nerasta.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Gavus leidimus savininku taps OTP Bank (Vengrija)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SEB neturi bankų sektoriaus politikos, todėl taikoma investicijų politika bei aplinkosaugos ir socialinė / žmogaus teisių politikos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Valdymo ar tarptautinių normų pažeidimų nerasta (greita paieška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atskleidžiamos pagal PCAF (3 apimtis – 3,2 mln. t CO2e 2025 m.)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Tikslas – klimato neutralumas iki 2050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Tvaraus NT ir atsinaujinančios energetikos paskolos 305,4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EUR, tikslas – 700 mln.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EUR iki 2030 m.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 (maža rizika)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Įsipareigojimas gerbti žmogaus teises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PPTFP ir sankcijų atitiktis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Antikorupcijos priemonės ir pranešėjų kanalai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Viešo skolinimo išimčių sąrašo (anglis, nafta ir dujos, ginklai) ir narystės JT Pasauliniame susitarime nerasta.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kapitalas, likvidumas ir ESG praktika – tvirti.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Finansuojamos emisijos (3 apimtis) 2025 m. – 3,2 mln. t CO2e, PCAF metodas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Moterų dalis stebėtojų taryboje – 33,3 % (tikslas 40 %)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rizikos reitingas 18,4, maža rizika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Tvirta ESG praktika: matuojamos finansuojamos emisijos (PCAF), klimato neutralumo tikslas, augančios žaliosios paskolos ir mažos rizikos ESG reitingas. Savininku taps OTP Bank.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