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8"/>
        </w:rPr>
        <w:t>Port of Tallinn</w:t>
      </w:r>
    </w:p>
    <w:p>
      <w:r>
        <w:rPr>
          <w:color w:val="5F6B7A"/>
          <w:sz w:val="24"/>
        </w:rPr>
        <w:t>Emitento apžvalga · 6M2026</w:t>
      </w:r>
    </w:p>
    <w:p>
      <w:pPr>
        <w:spacing w:after="0"/>
      </w:pPr>
      <w:r>
        <w:rPr>
          <w:b/>
          <w:sz w:val="19"/>
        </w:rPr>
        <w:t xml:space="preserve">Analizės data: </w:t>
      </w:r>
      <w:r>
        <w:rPr>
          <w:b w:val="0"/>
          <w:sz w:val="19"/>
        </w:rPr>
        <w:t>2026-10-22</w:t>
      </w:r>
    </w:p>
    <w:p>
      <w:pPr>
        <w:spacing w:after="0"/>
      </w:pPr>
      <w:r>
        <w:rPr>
          <w:b/>
          <w:sz w:val="19"/>
        </w:rPr>
        <w:t xml:space="preserve">Reitingas: </w:t>
      </w:r>
      <w:r>
        <w:rPr>
          <w:b w:val="0"/>
          <w:sz w:val="19"/>
        </w:rPr>
        <w:t>No public credit rating found</w:t>
      </w:r>
      <w:hyperlink r:id="rId10">
        <w:r>
          <w:rPr>
            <w:color w:val="2A78D6"/>
            <w:vertAlign w:val="superscript"/>
            <w:sz w:val="16"/>
          </w:rPr>
          <w:t xml:space="preserve">1</w:t>
        </w:r>
      </w:hyperlink>
    </w:p>
    <w:p>
      <w:pPr>
        <w:spacing w:after="0"/>
      </w:pPr>
      <w:r>
        <w:rPr>
          <w:b/>
          <w:sz w:val="19"/>
        </w:rPr>
        <w:t xml:space="preserve">Kita ataskaita: </w:t>
      </w:r>
      <w:r>
        <w:rPr>
          <w:b w:val="0"/>
          <w:sz w:val="19"/>
        </w:rPr>
        <w:t>Q3 2026 results - expected November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FDF1D8"/>
          </w:tcPr>
          <w:p>
            <w:pPr>
              <w:spacing w:before="60" w:after="60"/>
            </w:pPr>
            <w:r>
              <w:rPr>
                <w:b/>
                <w:color w:val="1A1A1A"/>
                <w:sz w:val="21"/>
              </w:rPr>
              <w:t>Verta stebėti.</w:t>
            </w:r>
            <w:r>
              <w:rPr>
                <w:b w:val="0"/>
                <w:color w:val="1A1A1A"/>
                <w:sz w:val="21"/>
              </w:rPr>
              <w:t xml:space="preserve"> Balansas tvirtas (grynoji skola 2,78x EBITDA, nuosavas kapitalas 59,8 % turto)</w:t>
            </w:r>
            <w:hyperlink r:id="rId11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A1A1A"/>
                <w:sz w:val="21"/>
              </w:rPr>
              <w:t>. Tačiau 2026 m. 6 mėn. grynasis pelnas sumažėjo 41,7 % dėl brangesnio kuro ir remontų, todėl kitų metų dividendų bazė gali būti mažesnė</w:t>
            </w:r>
            <w:hyperlink r:id="rId11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nil"/>
          <w:bottom w:val="single" w:sz="4" w:color="FFFFFF"/>
          <w:right w:val="nil"/>
          <w:insideH w:val="single" w:sz="4" w:color="FFFFFF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Pajamos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59,3 mln. EUR</w:t>
            </w:r>
          </w:p>
          <w:p>
            <w:r>
              <w:rPr>
                <w:color w:val="5F6B7A"/>
                <w:sz w:val="16"/>
              </w:rPr>
              <w:t>▲ 2,4 %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Koreguota EBITDA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25,8 mln. EUR</w:t>
            </w:r>
          </w:p>
          <w:p>
            <w:r>
              <w:rPr>
                <w:color w:val="5F6B7A"/>
                <w:sz w:val="16"/>
              </w:rPr>
              <w:t>▼ 13,4 %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Grynasis pelnas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6,0 mln. EUR</w:t>
            </w:r>
          </w:p>
          <w:p>
            <w:r>
              <w:rPr>
                <w:color w:val="5F6B7A"/>
                <w:sz w:val="16"/>
              </w:rPr>
              <w:t>▼ 41,7 % vs 6M2025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Grynoji skola / EBITDA (6M2026)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2,78x</w:t>
            </w:r>
          </w:p>
          <w:p>
            <w:r>
              <w:rPr>
                <w:color w:val="5F6B7A"/>
                <w:sz w:val="16"/>
              </w:rPr>
              <w:t>▲ 0,27x vs FY2025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Trumpa santrauka</w:t>
      </w:r>
    </w:p>
    <w:p>
      <w:pPr>
        <w:pStyle w:val="ListBullet"/>
        <w:spacing w:after="60"/>
      </w:pPr>
      <w:r>
        <w:rPr>
          <w:b/>
        </w:rPr>
        <w:t>Pajamos auga, pelnas mažėja:</w:t>
      </w:r>
      <w:r>
        <w:rPr>
          <w:b w:val="0"/>
        </w:rPr>
        <w:t xml:space="preserve"> 6 mėn. pajamos išaugo 2,4 % iki 59,3 mln. EUR, tačiau koreguota EBITDA sumažėjo 13,5 % iki 25,8 mln. EUR, o grynasis pelnas – 41,7 % iki 6,0 mln. EUR. EBITDA marža nukrito iki 43,5 % nuo 51,5 %</w:t>
      </w:r>
      <w:hyperlink r:id="rId11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Priežastys:</w:t>
      </w:r>
      <w:r>
        <w:rPr>
          <w:b w:val="0"/>
        </w:rPr>
        <w:t xml:space="preserve"> vadovo teigimu, brangesnis kuras ir neplanuoti laivų remontai po ledo sezono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Balansas tvirtas:</w:t>
      </w:r>
      <w:r>
        <w:rPr>
          <w:b w:val="0"/>
        </w:rPr>
        <w:t xml:space="preserve"> grynoji skola 145,8 mln. EUR, t. y. 2,78x 12 mėn. koreguotos EBITDA; nuosavas kapitalas sudaro 59,8 % turto (abu rodikliai apskaičiuoti įrankio)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Dividendai viršija politiką:</w:t>
      </w:r>
      <w:r>
        <w:rPr>
          <w:b w:val="0"/>
        </w:rPr>
        <w:t xml:space="preserve"> 0,073 EUR akcijai (iš viso 19,2 mln. EUR) – 85 % 2025 m. pelno, kai politikos minimumas 70 %; išmokėta 2026-05-20</w:t>
      </w:r>
      <w:hyperlink r:id="rId11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Valstybės valdoma; sena byla neužbaigta:</w:t>
      </w:r>
      <w:r>
        <w:rPr>
          <w:b w:val="0"/>
        </w:rPr>
        <w:t xml:space="preserve"> Estija valdo 67,03 %</w:t>
      </w:r>
      <w:hyperlink r:id="rId11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 Buvusių vadovų kyšininkavimo byloje teismas 2024-06-27 išteisino dėl senaties; abi pusės apskundė, vėlesnis sprendimas nerastas – reikia peržiūrėti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Turimos priemonės ir ISIN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ISIN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Priemonė</w:t>
            </w:r>
          </w:p>
        </w:tc>
        <w:tc>
          <w:tcPr>
            <w:tcW w:type="dxa" w:w="964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Kuponas</w:t>
            </w:r>
          </w:p>
        </w:tc>
        <w:tc>
          <w:tcPr>
            <w:tcW w:type="dxa" w:w="130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Išpirkimas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Pastaba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EE3100021635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Tallinna Sadam ordinary share (TSM1T)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akcija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Republic of Estonia holds 67.03%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Pagrindiniai rodikliai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Rodiklis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6M2025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6M2026</w:t>
            </w:r>
          </w:p>
        </w:tc>
        <w:tc>
          <w:tcPr>
            <w:tcW w:type="dxa" w:w="221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Pokytis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Pajamos,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119,6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118,7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57,9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59,3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2,4 %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Koreguota EBITDA,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53,1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56,5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29,8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25,8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13,4 %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Koreguotos EBITDA marža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44,4 %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47,6 %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51,5 %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43,5 %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8 p. p.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Veiklos pelnas,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29,1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32,7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18,3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13,6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25,7 %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Grynasis pelnas,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19,2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22,5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10,3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6,0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41,7 %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Investicijos,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38,8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33,2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12,0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3,5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color w:val="5F6B7A"/>
                <w:sz w:val="17"/>
              </w:rPr>
              <w:t>▼ 70,8 %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Grynoji skola, mln. EUR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167,6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141,7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143,7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145,8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▲ 1,5 %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Grynoji skola / EBITDA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3,15xᶜ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2,51xᶜ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2,78xᶜ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▲ 0,27x vs FY2025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Nuosavo kapitalo dalis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61,2 %ᶜ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59,3 %ᶜ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59,8 %ᶜ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0,5 p. p.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Krovinių kiekis, mln. t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13,1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13,8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6,83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6,48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5,1 % vs 6M2025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Keleiviai, mln.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3,66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3,59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1,9 % vs 6M2025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Dividendai akcijai, EUR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0,073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0,073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color w:val="5F6B7A"/>
                <w:sz w:val="17"/>
              </w:rPr>
              <w:t>• 0,0 % vs FY2024</w:t>
            </w:r>
          </w:p>
        </w:tc>
      </w:tr>
    </w:tbl>
    <w:p>
      <w:r>
        <w:rPr>
          <w:i/>
          <w:color w:val="5F6B7A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r>
        <w:rPr>
          <w:i/>
          <w:color w:val="5F6B7A"/>
          <w:sz w:val="16"/>
        </w:rPr>
        <w:t>* – reikia patikrinti originale;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-of-tallinn_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Veiklos apžvalga</w:t>
      </w:r>
    </w:p>
    <w:p>
      <w:pPr>
        <w:pStyle w:val="ListBullet"/>
        <w:spacing w:after="60"/>
      </w:pPr>
      <w:r>
        <w:rPr>
          <w:b w:val="0"/>
        </w:rPr>
        <w:t>Kroviniai 6,48 mln. t (−5,0 %), daugiausia dėl skystų krovinių (−33,8 %); keleiviai 3,59 mln. (−2,0 %); laivų įplaukimai −4,8 %</w:t>
      </w:r>
      <w:hyperlink r:id="rId11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Kruizų keleiviai +47,8 %, kruizinių laivų įplaukimai +29,3 % (6 mėn.)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Keltai (Saaremaa, Hiiumaa):</w:t>
      </w:r>
      <w:r>
        <w:rPr>
          <w:b w:val="0"/>
        </w:rPr>
        <w:t xml:space="preserve"> II ketv. reisai +1,2 %, keleiviai +1,8 %; vasarai sutarta dėl papildomų kelto „Regula“ reisų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Ledlaužio „Botnica“ frachtas 130 d. (110 d.)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Segmentai (6 mėn., pajamos / koreg. EBITDA, mln. EUR):</w:t>
      </w:r>
      <w:r>
        <w:rPr>
          <w:b w:val="0"/>
        </w:rPr>
        <w:t xml:space="preserve"> keleivių uostai 18,9 / 9,6; krovinių uostai 15,8 / 7,3; keltai 18,6 / 5,9; kita 5,9 / 3,1</w:t>
      </w:r>
      <w:hyperlink r:id="rId1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Rizikos pagal ataskaitą:</w:t>
      </w:r>
      <w:r>
        <w:rPr>
          <w:b w:val="0"/>
        </w:rPr>
        <w:t xml:space="preserve"> karas Ukrainoje mažina skystų krovinių srautus; JAV–Irano konfliktas ir Hormūzo sąsiaurio blokada didina kuro kainas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Finansai</w:t>
      </w:r>
    </w:p>
    <w:p>
      <w:pPr>
        <w:pStyle w:val="ListBullet"/>
        <w:spacing w:after="60"/>
      </w:pPr>
      <w:r>
        <w:rPr>
          <w:b/>
        </w:rPr>
        <w:t>2025 m.:</w:t>
      </w:r>
      <w:r>
        <w:rPr>
          <w:b w:val="0"/>
        </w:rPr>
        <w:t xml:space="preserve"> pajamos 118,7 mln. EUR (−0,8 %), koreguota EBITDA 56,5 mln. EUR (+6,4 %), grynasis pelnas 22,5 mln. EUR (+17,3 %), investicijos 33,2 mln. EUR, laisvieji pinigų srautai 50,9 mln. EUR</w:t>
      </w:r>
      <w:hyperlink r:id="rId15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6 mėn. investicijos 3,5 mln. EUR (12,0 mln.). 2025 m. palyginimui įtakos turėjo vienkartinis 0,9 mln. EUR pelnas iš žemės pardavimo Rail Baltica stočiai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Ankstesni planai ir rezultatai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Planas / tikslas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Rezultatas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Kas pasikeitė ir kodėl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Būsena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„2025 m. rezultatai ir 2026 m. perspektyvos leidžia tęsti ir viršyti dividendų politiką“ (2026 m. vasaris)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Išmokėta 85 % pelno (politika ≥70 %)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Įvykdyta: išmokėta 85 % pelno, kai politika – ≥70 %. Tačiau 2026 m. 6 mėn. pelnas sumažėjo iki 6,0 mln. EUR (10,3 mln.) dėl kuro ir remonto sąnaudų bei mažesnių skystų krovinių, todėl kitų metų dividendų bazė gali būti mažesnė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3F3E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ir 2 apimties emisijos −55 % iki 2030 m. (bazė 2019 m. – 33 086 t CO2e), klimatui neutrali veikla iki 2050 m.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2025 m. – 19 261 t CO2e (−41,8 % nuo 2019 m.; apskaičiuota įrankio)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3175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Vykdoma: iki 2025 m. pasiekta −41,8 %; iki 2030 m. reikia dar apie 13 p. p. (apskaičiuota įrankio)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Perspektyvos (2026-08): naujos ro-ro ir konteinerių linijos, Muuga pramonės parkas, Senojo miesto uosto nekilnojamojo turto konkursas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Nauja – vertinti kitoje apžvalgoje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Nauja 2026-08 perspektyvoje; dar nėra su kuo lyginti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Informacija investuotojui ir išvados</w:t>
      </w:r>
    </w:p>
    <w:p>
      <w:pPr>
        <w:pStyle w:val="ListBullet"/>
        <w:spacing w:after="60"/>
      </w:pPr>
      <w:r>
        <w:rPr>
          <w:b/>
        </w:rPr>
        <w:t>Turima priemonė:</w:t>
      </w:r>
      <w:r>
        <w:rPr>
          <w:b w:val="0"/>
        </w:rPr>
        <w:t xml:space="preserve"> akcijos (TSM1T, Nasdaq Tallinn). Obligacijų nėra; skolinimasis – paskolos (173,4 mln. EUR, iš jų 93,1 mln. trumpalaikės)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Dividendų bazė:</w:t>
      </w:r>
      <w:r>
        <w:rPr>
          <w:b w:val="0"/>
        </w:rPr>
        <w:t xml:space="preserve"> dividendai skaičiuojami nuo praėjusių metų pelno; 6 mėn. pelnas 6,0 mln. EUR (10,3 mln.) – jei tendencija tęsis, 2027 m. dividendų bazė bus mažesnė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93,1 mln. EUR paskolų – trumpalaikės:</w:t>
      </w:r>
      <w:r>
        <w:rPr>
          <w:b w:val="0"/>
        </w:rPr>
        <w:t xml:space="preserve"> stebėti refinansavimą</w:t>
      </w:r>
      <w:hyperlink r:id="rId11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Išvada:</w:t>
      </w:r>
      <w:r>
        <w:rPr>
          <w:b w:val="0"/>
        </w:rPr>
        <w:t xml:space="preserve"> balansas tvirtas, skola stabili, tačiau 2026 m. pelningumas mažėja dėl kuro ir remonto sąnaudų bei mažesnių skystų krovinių. Stebėti: 9 mėn. ataskaitą, keltų paslaugų sutartį, teismo bylos baigtį.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ESG report</w:t>
      </w:r>
    </w:p>
    <w:p>
      <w:pPr>
        <w:spacing w:before="160"/>
      </w:pPr>
      <w:r>
        <w:rPr>
          <w:b/>
          <w:sz w:val="22"/>
        </w:rPr>
        <w:t>Exclusionary screening (companies)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not involved in excluded sectors: controversial and nuclear weapons, tobacco, gambling and restricted sectors in fossil fuel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Uosto operatorius, keltų paslaugos, ledlaužis, nekilnojamasis turtas – ginklų, tabako, lošimų, anglies ar naftos žvalgybos veiklos nėra</w:t>
      </w:r>
      <w:hyperlink r:id="rId11">
        <w:r>
          <w:rPr>
            <w:color w:val="2A78D6"/>
            <w:vertAlign w:val="superscript"/>
            <w:sz w:val="16"/>
          </w:rPr>
          <w:t xml:space="preserve">2</w:t>
        </w:r>
      </w:hyperlink>
      <w:r>
        <w:rPr>
          <w:b w:val="0"/>
          <w:color w:val="333333"/>
          <w:sz w:val="19"/>
        </w:rPr>
        <w:t>.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Krauna skystus krovinius (naftos produktus), jų kiekis mažėja (−33,8 % per 6 mėn.)</w:t>
      </w:r>
      <w:hyperlink r:id="rId11">
        <w:r>
          <w:rPr>
            <w:color w:val="2A78D6"/>
            <w:vertAlign w:val="superscript"/>
            <w:sz w:val="16"/>
          </w:rPr>
          <w:t xml:space="preserve">2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does not have red flag/signal related to controversies based on UN Global Compact, OECD Guidelines for Multinational Enterprises or any other relevant principles/standards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Su JT Pasauliniu susitarimu ar OECD gairėmis susijusių ginčų nėra.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2015 m. kyšininkavimo byla susijusi su buvusiais vadovais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Bendrovė joje – nukentėjusioji, ne kaltinamoji</w:t>
      </w:r>
      <w:hyperlink r:id="rId13">
        <w:r>
          <w:rPr>
            <w:color w:val="2A78D6"/>
            <w:vertAlign w:val="superscript"/>
            <w:sz w:val="16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6"/>
          </w:rPr>
          <w:t xml:space="preserve">8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not in the list of sanctions (add a screenshot)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Nerasta EU, UN, UK, US OFAC konsoliduotuose sankcijų sąrašuose (automatinė patikra 2026-10-22).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issues were not identified from adverse media checks (add a screenshot)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Automatinė naujienų paieška (estų ir anglų žiniasklaida, paskutinės 30 d., 2026-10-22) naujų neigiamų naujienų nerado.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Senesnės publikacijos – apie buvusių vadovų bylą</w:t>
      </w:r>
      <w:hyperlink r:id="rId13">
        <w:r>
          <w:rPr>
            <w:color w:val="2A78D6"/>
            <w:vertAlign w:val="superscript"/>
            <w:sz w:val="16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6"/>
          </w:rPr>
          <w:t xml:space="preserve">8</w:t>
        </w:r>
      </w:hyperlink>
      <w:r>
        <w:rPr>
          <w:b w:val="0"/>
          <w:color w:val="333333"/>
          <w:sz w:val="19"/>
        </w:rPr>
        <w:t>.</w:t>
      </w:r>
    </w:p>
    <w:p>
      <w:r>
        <w:rPr>
          <w:i/>
          <w:sz w:val="19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ESG integration and positive screening (positive answers imply higher allocation)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promoting environmental or social characteristics (activities, ESG policy, good ESG rating, etc)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Savanoriška 2025 m. tvarumo ataskaita pagal CSRD/ESRS principus</w:t>
      </w:r>
      <w:hyperlink r:id="rId19">
        <w:r>
          <w:rPr>
            <w:color w:val="2A78D6"/>
            <w:vertAlign w:val="superscript"/>
            <w:sz w:val="16"/>
          </w:rPr>
          <w:t xml:space="preserve">15</w:t>
        </w:r>
      </w:hyperlink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Tikslas 90 % atsinaujinančios energijos savo reikmėms</w:t>
      </w:r>
      <w:hyperlink r:id="rId17">
        <w:r>
          <w:rPr>
            <w:color w:val="2A78D6"/>
            <w:vertAlign w:val="superscript"/>
            <w:sz w:val="16"/>
          </w:rPr>
          <w:t xml:space="preserve">16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activities of the company or it’s strategy is aligned with the taxonomy and/or Paris agreement targets (e.g. net zero commitment)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Klimatui neutrali veikla iki 2050 m.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1+2 apimties emisijos −55 % iki 2030 m., palyginti su 2019 m.</w:t>
      </w:r>
      <w:hyperlink r:id="rId17">
        <w:r>
          <w:rPr>
            <w:color w:val="2A78D6"/>
            <w:vertAlign w:val="superscript"/>
            <w:sz w:val="16"/>
          </w:rPr>
          <w:t xml:space="preserve">16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Pažanga: 2025 m. – 19 261 t CO2e, −41,8 % nuo 2019 m.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(apskaičiuota įrankio)</w:t>
      </w:r>
      <w:hyperlink r:id="rId20">
        <w:r>
          <w:rPr>
            <w:color w:val="2A78D6"/>
            <w:vertAlign w:val="superscript"/>
            <w:sz w:val="16"/>
          </w:rPr>
          <w:t xml:space="preserve">17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does not have yellow flag/signal related to controversies based on UN Global Compact or any other relevant principles/standards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Dabartinių geltonų signalų nėra.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Buvusių vadovų byla – istorinė (nuo 2015 m.), bendrovė joje nukentėjusioji</w:t>
      </w:r>
      <w:hyperlink r:id="rId13">
        <w:r>
          <w:rPr>
            <w:color w:val="2A78D6"/>
            <w:vertAlign w:val="superscript"/>
            <w:sz w:val="16"/>
          </w:rPr>
          <w:t xml:space="preserve">7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fulfills the expectations from SEB thematic and sector policies</w:t>
      </w:r>
    </w:p>
    <w:p>
      <w:pPr>
        <w:spacing w:after="0"/>
        <w:ind w:left="397"/>
      </w:pPr>
      <w:r>
        <w:rPr>
          <w:b/>
          <w:color w:val="333333"/>
          <w:sz w:val="19"/>
        </w:rPr>
        <w:t>Taikoma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SEB investicijų politika</w:t>
      </w:r>
      <w:hyperlink r:id="rId21">
        <w:r>
          <w:rPr>
            <w:color w:val="2A78D6"/>
            <w:vertAlign w:val="superscript"/>
            <w:sz w:val="16"/>
          </w:rPr>
          <w:t xml:space="preserve">18</w:t>
        </w:r>
      </w:hyperlink>
      <w:r>
        <w:rPr>
          <w:b w:val="0"/>
          <w:color w:val="333333"/>
          <w:sz w:val="19"/>
        </w:rPr>
        <w:t xml:space="preserve"> ir laivybos politika, nes keltų segmentas sudaro 31,4 % 2026 m.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6 mėn. pajamų, daugiau nei 15 % riba (apskaičiuota įrankio)</w:t>
      </w:r>
      <w:hyperlink r:id="rId11">
        <w:r>
          <w:rPr>
            <w:color w:val="2A78D6"/>
            <w:vertAlign w:val="superscript"/>
            <w:sz w:val="16"/>
          </w:rPr>
          <w:t xml:space="preserve">12</w:t>
        </w:r>
      </w:hyperlink>
      <w:r>
        <w:rPr>
          <w:color w:val="2A78D6"/>
          <w:vertAlign w:val="superscript"/>
        </w:rPr>
        <w:t>,</w:t>
      </w:r>
      <w:hyperlink r:id="rId22">
        <w:r>
          <w:rPr>
            <w:color w:val="2A78D6"/>
            <w:vertAlign w:val="superscript"/>
            <w:sz w:val="16"/>
          </w:rPr>
          <w:t xml:space="preserve">19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Transporto politika netaikoma (tik kelių, geležinkelių ir oro transportas)</w:t>
      </w:r>
      <w:hyperlink r:id="rId23">
        <w:r>
          <w:rPr>
            <w:color w:val="2A78D6"/>
            <w:vertAlign w:val="superscript"/>
            <w:sz w:val="16"/>
          </w:rPr>
          <w:t xml:space="preserve">20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Atitinka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Bendrovės valdymo ar tarptautinių normų pažeidimų nėra</w:t>
      </w:r>
      <w:hyperlink r:id="rId13">
        <w:r>
          <w:rPr>
            <w:color w:val="2A78D6"/>
            <w:vertAlign w:val="superscript"/>
            <w:sz w:val="16"/>
          </w:rPr>
          <w:t xml:space="preserve">7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Kasmetinė tvarumo ataskaita su klimato duomenimis</w:t>
      </w:r>
      <w:hyperlink r:id="rId19">
        <w:r>
          <w:rPr>
            <w:color w:val="2A78D6"/>
            <w:vertAlign w:val="superscript"/>
            <w:sz w:val="16"/>
          </w:rPr>
          <w:t xml:space="preserve">15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Klimato neutralumas iki 2050 m. ir planas keltus perkelti prie alternatyvių kuro rūšių ar elektros – atitinka SEB dekarbonizacijos plano lūkestį</w:t>
      </w:r>
      <w:hyperlink r:id="rId24">
        <w:r>
          <w:rPr>
            <w:color w:val="2A78D6"/>
            <w:vertAlign w:val="superscript"/>
            <w:sz w:val="16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22">
        <w:r>
          <w:rPr>
            <w:color w:val="2A78D6"/>
            <w:vertAlign w:val="superscript"/>
            <w:sz w:val="16"/>
          </w:rPr>
          <w:t xml:space="preserve">22</w:t>
        </w:r>
      </w:hyperlink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Skystų krovinių (naftos produktų) mažėja, 2026 m.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6 mėn. −33,8 %</w:t>
      </w:r>
      <w:hyperlink r:id="rId11">
        <w:r>
          <w:rPr>
            <w:color w:val="2A78D6"/>
            <w:vertAlign w:val="superscript"/>
            <w:sz w:val="16"/>
          </w:rPr>
          <w:t xml:space="preserve">23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Galėtų būti geriau</w:t>
      </w:r>
    </w:p>
    <w:p>
      <w:pPr>
        <w:spacing w:after="12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Viešose ataskaitose neaprašyti laivybos dalykai (laivų energijos efektyvumo planai, CII reitingai, laivų perdirbimas)</w:t>
      </w:r>
      <w:hyperlink r:id="rId22">
        <w:r>
          <w:rPr>
            <w:color w:val="2A78D6"/>
            <w:vertAlign w:val="superscript"/>
            <w:sz w:val="16"/>
          </w:rPr>
          <w:t xml:space="preserve">24</w:t>
        </w:r>
      </w:hyperlink>
      <w:r>
        <w:rPr>
          <w:b w:val="0"/>
          <w:color w:val="333333"/>
          <w:sz w:val="19"/>
        </w:rPr>
        <w:t xml:space="preserve"> ir žmogaus teisių patikra, pranešėjų kanalas, antikorupcijos politika</w:t>
      </w:r>
      <w:hyperlink r:id="rId22">
        <w:r>
          <w:rPr>
            <w:color w:val="2A78D6"/>
            <w:vertAlign w:val="superscript"/>
            <w:sz w:val="16"/>
          </w:rPr>
          <w:t xml:space="preserve">22</w:t>
        </w:r>
      </w:hyperlink>
      <w:r>
        <w:rPr>
          <w:color w:val="2A78D6"/>
          <w:vertAlign w:val="superscript"/>
        </w:rPr>
        <w:t>,</w:t>
      </w:r>
      <w:hyperlink r:id="rId25">
        <w:r>
          <w:rPr>
            <w:color w:val="2A78D6"/>
            <w:vertAlign w:val="superscript"/>
            <w:sz w:val="16"/>
          </w:rPr>
          <w:t xml:space="preserve">25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Engagement</w:t>
      </w:r>
    </w:p>
    <w:p>
      <w:pPr>
        <w:spacing w:before="80" w:after="20"/>
      </w:pPr>
      <w:r>
        <w:rPr>
          <w:sz w:val="24"/>
        </w:rPr>
        <w:t xml:space="preserve">☐ </w:t>
      </w:r>
      <w:r>
        <w:t>Is there a need for pro-active engagement with the company?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Nereikia.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Indicators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indicators of the company support the targets of sustainability and PAI indicators followed by the Fund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1+2 apimties emisijos 2025 m. – 19 261 t CO2e, −41,8 % nuo 2019 m.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(apskaičiuota įrankio)</w:t>
      </w:r>
      <w:hyperlink r:id="rId20">
        <w:r>
          <w:rPr>
            <w:color w:val="2A78D6"/>
            <w:vertAlign w:val="superscript"/>
            <w:sz w:val="16"/>
          </w:rPr>
          <w:t xml:space="preserve">17</w:t>
        </w:r>
      </w:hyperlink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Tikslas – −55 % iki 2030 m. ir klimato neutralumas iki 2050 m.</w:t>
      </w:r>
      <w:hyperlink r:id="rId17">
        <w:r>
          <w:rPr>
            <w:color w:val="2A78D6"/>
            <w:vertAlign w:val="superscript"/>
            <w:sz w:val="16"/>
          </w:rPr>
          <w:t xml:space="preserve">16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80"/>
      </w:pPr>
      <w:r>
        <w:rPr>
          <w:b/>
        </w:rPr>
        <w:t xml:space="preserve">Conclusion: </w:t>
      </w:r>
      <w:r>
        <w:rPr>
          <w:b w:val="0"/>
        </w:rPr>
        <w:t>Išimčių ir raudonų signalų nėra. Aiškūs klimato tikslai ir gera pažanga (−41,8 % nuo 2019 m.). Laivybos atskleidimas galėtų būti išsamesnis.</w:t>
      </w:r>
    </w:p>
    <w:p>
      <w:r>
        <w:rPr>
          <w:i/>
          <w:color w:val="5F6B7A"/>
          <w:sz w:val="16"/>
        </w:rPr>
        <w:t>Taikytos SEB politikos: Policy on Sustainability Considerations in Investments (SEB AB); Shipping sector policy; Environmental Policy on Climate, Nature and Water (thematic); Social and Human Rights Policy (thematic); Governance expectations in sector policies (anti-corruption, tax, reporting)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Šaltiniai</w:t>
      </w:r>
    </w:p>
    <w:p>
      <w:pPr>
        <w:spacing w:after="20"/>
        <w:ind w:left="340" w:hanging="340"/>
      </w:pPr>
      <w:r>
        <w:rPr>
          <w:sz w:val="17"/>
        </w:rPr>
        <w:t xml:space="preserve">1. </w:t>
      </w:r>
      <w:hyperlink r:id="rId10">
        <w:r>
          <w:rPr>
            <w:color w:val="2A78D6"/>
            <w:sz w:val="17"/>
          </w:rPr>
          <w:t xml:space="preserve">Investor - stock exchange info,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2. </w:t>
      </w:r>
      <w:hyperlink r:id="rId11">
        <w:r>
          <w:rPr>
            <w:color w:val="2A78D6"/>
            <w:sz w:val="17"/>
          </w:rPr>
          <w:t xml:space="preserve">AS Tallinna Sadam - Interim report Q2 and 6M 2026,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3. </w:t>
      </w:r>
      <w:hyperlink r:id="rId11">
        <w:r>
          <w:rPr>
            <w:color w:val="2A78D6"/>
            <w:sz w:val="17"/>
          </w:rPr>
          <w:t xml:space="preserve">AS Tallinna Sadam - Interim report Q2 and 6M 2026, p. 4,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4. </w:t>
      </w:r>
      <w:hyperlink r:id="rId12">
        <w:r>
          <w:rPr>
            <w:color w:val="2A78D6"/>
            <w:sz w:val="17"/>
          </w:rPr>
          <w:t xml:space="preserve">Stock exchange release: financial results for 2026 Q2 and 6 months,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5. </w:t>
      </w:r>
      <w:hyperlink r:id="rId11">
        <w:r>
          <w:rPr>
            <w:color w:val="2A78D6"/>
            <w:sz w:val="17"/>
          </w:rPr>
          <w:t xml:space="preserve">AS Tallinna Sadam - Interim report Q2 and 6M 2026, p. 14-15,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6. </w:t>
      </w:r>
      <w:hyperlink r:id="rId11">
        <w:r>
          <w:rPr>
            <w:color w:val="2A78D6"/>
            <w:sz w:val="17"/>
          </w:rPr>
          <w:t xml:space="preserve">AS Tallinna Sadam - Interim report Q2 and 6M 2026, p. 13,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7. </w:t>
      </w:r>
      <w:hyperlink r:id="rId13">
        <w:r>
          <w:rPr>
            <w:color w:val="2A78D6"/>
            <w:sz w:val="17"/>
          </w:rPr>
          <w:t xml:space="preserve">ERR: defence appeals acquittal in Tallinna Sadam case, 2024-07-24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8. </w:t>
      </w:r>
      <w:hyperlink r:id="rId14">
        <w:r>
          <w:rPr>
            <w:color w:val="2A78D6"/>
            <w:sz w:val="17"/>
          </w:rPr>
          <w:t xml:space="preserve">ERR: State Prosecutor appeals Tallinna Sadam ruling, 2024-07-26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9. </w:t>
      </w:r>
      <w:hyperlink r:id="rId15">
        <w:r>
          <w:rPr>
            <w:color w:val="2A78D6"/>
            <w:sz w:val="17"/>
          </w:rPr>
          <w:t xml:space="preserve">Results of Q4 and 12 months 2025 - webinar presentation, 2026-02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10. </w:t>
      </w:r>
      <w:hyperlink r:id="rId11">
        <w:r>
          <w:rPr>
            <w:color w:val="2A78D6"/>
            <w:sz w:val="17"/>
          </w:rPr>
          <w:t xml:space="preserve">AS Tallinna Sadam - Interim report Q2 and 6M 2026, p. 15,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11. </w:t>
      </w:r>
      <w:hyperlink r:id="rId11">
        <w:r>
          <w:rPr>
            <w:color w:val="2A78D6"/>
            <w:sz w:val="17"/>
          </w:rPr>
          <w:t xml:space="preserve">AS Tallinna Sadam - Interim report Q2 and 6M 2026, p. 14,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12. </w:t>
      </w:r>
      <w:hyperlink r:id="rId11">
        <w:r>
          <w:rPr>
            <w:color w:val="2A78D6"/>
            <w:sz w:val="17"/>
          </w:rPr>
          <w:t xml:space="preserve">AS Tallinna Sadam - Interim report Q2 and 6M 2026, p. 9,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13. </w:t>
      </w:r>
      <w:hyperlink r:id="rId17">
        <w:r>
          <w:rPr>
            <w:color w:val="2A78D6"/>
            <w:sz w:val="17"/>
          </w:rPr>
          <w:t xml:space="preserve">Sustainability Report 2025, p. 19, 22, 2026-04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14. </w:t>
      </w:r>
      <w:hyperlink r:id="rId18">
        <w:r>
          <w:rPr>
            <w:color w:val="2A78D6"/>
            <w:sz w:val="17"/>
          </w:rPr>
          <w:t xml:space="preserve">Q2 2026 webinar presentation, 2026-08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15. </w:t>
      </w:r>
      <w:hyperlink r:id="rId19">
        <w:r>
          <w:rPr>
            <w:color w:val="2A78D6"/>
            <w:sz w:val="17"/>
          </w:rPr>
          <w:t xml:space="preserve">Sustainability Report 2025, 2026-04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16. </w:t>
      </w:r>
      <w:hyperlink r:id="rId17">
        <w:r>
          <w:rPr>
            <w:color w:val="2A78D6"/>
            <w:sz w:val="17"/>
          </w:rPr>
          <w:t xml:space="preserve">Sustainability Report 2025, p. 19, 2026-04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17. </w:t>
      </w:r>
      <w:hyperlink r:id="rId20">
        <w:r>
          <w:rPr>
            <w:color w:val="2A78D6"/>
            <w:sz w:val="17"/>
          </w:rPr>
          <w:t xml:space="preserve">Sustainability Report 2025, p. 22, 2026-04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18. </w:t>
      </w:r>
      <w:hyperlink r:id="rId21">
        <w:r>
          <w:rPr>
            <w:color w:val="2A78D6"/>
            <w:sz w:val="17"/>
          </w:rPr>
          <w:t xml:space="preserve">SEB Policy on Sustainability Considerations in Investments (2026-04-15), p. 5, 2026-04-15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19. </w:t>
      </w:r>
      <w:hyperlink r:id="rId22">
        <w:r>
          <w:rPr>
            <w:color w:val="2A78D6"/>
            <w:sz w:val="17"/>
          </w:rPr>
          <w:t xml:space="preserve">SEB Sector Policy on Shipping (2026-04-23), p. 5, 2026-04-23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20. </w:t>
      </w:r>
      <w:hyperlink r:id="rId23">
        <w:r>
          <w:rPr>
            <w:color w:val="2A78D6"/>
            <w:sz w:val="17"/>
          </w:rPr>
          <w:t xml:space="preserve">SEB Sector Policy on Transportation (2026-04-23), p. 4, 2026-04-23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21. </w:t>
      </w:r>
      <w:hyperlink r:id="rId24">
        <w:r>
          <w:rPr>
            <w:color w:val="2A78D6"/>
            <w:sz w:val="17"/>
          </w:rPr>
          <w:t xml:space="preserve">Sustainability Report 2025, p. 18-19, 2026-04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22. </w:t>
      </w:r>
      <w:hyperlink r:id="rId22">
        <w:r>
          <w:rPr>
            <w:color w:val="2A78D6"/>
            <w:sz w:val="17"/>
          </w:rPr>
          <w:t xml:space="preserve">SEB Sector Policy on Shipping (2026-04-23), p. 7, 2026-04-23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23. </w:t>
      </w:r>
      <w:hyperlink r:id="rId11">
        <w:r>
          <w:rPr>
            <w:color w:val="2A78D6"/>
            <w:sz w:val="17"/>
          </w:rPr>
          <w:t xml:space="preserve">AS Tallinna Sadam - Interim report Q2 and 6M 2026, p. 6, 2026-08-10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24. </w:t>
      </w:r>
      <w:hyperlink r:id="rId22">
        <w:r>
          <w:rPr>
            <w:color w:val="2A78D6"/>
            <w:sz w:val="17"/>
          </w:rPr>
          <w:t xml:space="preserve">SEB Sector Policy on Shipping (2026-04-23), p. 5-6, 2026-04-23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25. </w:t>
      </w:r>
      <w:hyperlink r:id="rId25">
        <w:r>
          <w:rPr>
            <w:color w:val="2A78D6"/>
            <w:sz w:val="17"/>
          </w:rPr>
          <w:t xml:space="preserve">SEB Social and Human Rights Policy (2026-04-28), p. 8, 2026-04-28</w:t>
        </w:r>
      </w:hyperlink>
    </w:p>
    <w:p>
      <w:r>
        <w:rPr>
          <w:i/>
          <w:color w:val="5F6B7A"/>
          <w:sz w:val="16"/>
        </w:rPr>
        <w:t>Ataskaita parengta automatiškai iš viešų šaltinių. Skaičiai pateikiami taip, kaip juos skelbia emitentas; nuorodos [S#] veda į šaltinių sąrašą. Prieš naudojant sprendimui, analitikas turi peržiūrėti pažymėtus punktus.</w:t>
      </w:r>
    </w:p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A"/>
        <w:sz w:val="16"/>
      </w:rPr>
      <w:t xml:space="preserve">Port of Tallinn · 6M2026 · 2026-10-22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ts.ee/en/investor/stock-exchange-info/" TargetMode="External"/><Relationship Id="rId11" Type="http://schemas.openxmlformats.org/officeDocument/2006/relationships/hyperlink" Target="https://ml-eu.globenewswire.com/Resource/Download/bfd79dd4-0a64-4f1a-bf21-dcb2548a7586" TargetMode="External"/><Relationship Id="rId12" Type="http://schemas.openxmlformats.org/officeDocument/2006/relationships/hyperlink" Target="https://www.inderes.fi/en/releases/as-tallinna-sadam-financial-results-for-2026-q2-and-6-months" TargetMode="External"/><Relationship Id="rId13" Type="http://schemas.openxmlformats.org/officeDocument/2006/relationships/hyperlink" Target="https://www.err.ee/1609405501/tallinna-sadama-kaasuses-oigeksmoistetute-kaitsjad-vaidlustasid-kohtuotsuse" TargetMode="External"/><Relationship Id="rId14" Type="http://schemas.openxmlformats.org/officeDocument/2006/relationships/hyperlink" Target="https://www.err.ee/1609408312/riigiprokuratuur-vaidlustas-tallinna-sadama-kohtuotsuse" TargetMode="External"/><Relationship Id="rId15" Type="http://schemas.openxmlformats.org/officeDocument/2006/relationships/hyperlink" Target="https://www.ts.ee/wp-content/uploads/2026/02/2025-Q4-Webinar.pdf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www.ts.ee/wp-content/uploads/2026/04/Sustainability_Report_2025.pdf#page=19" TargetMode="External"/><Relationship Id="rId18" Type="http://schemas.openxmlformats.org/officeDocument/2006/relationships/hyperlink" Target="https://www.ts.ee/wp-content/uploads/2019/12/Q2-2026-webinar-ENG.pdf" TargetMode="External"/><Relationship Id="rId19" Type="http://schemas.openxmlformats.org/officeDocument/2006/relationships/hyperlink" Target="https://www.ts.ee/wp-content/uploads/2026/04/Sustainability_Report_2025.pdf" TargetMode="External"/><Relationship Id="rId20" Type="http://schemas.openxmlformats.org/officeDocument/2006/relationships/hyperlink" Target="https://www.ts.ee/wp-content/uploads/2026/04/Sustainability_Report_2025.pdf#page=22" TargetMode="External"/><Relationship Id="rId21" Type="http://schemas.openxmlformats.org/officeDocument/2006/relationships/hyperlink" Target="https://sebgroup.com/sustainability/our-sustainability-strategy/policies" TargetMode="External"/><Relationship Id="rId22" Type="http://schemas.openxmlformats.org/officeDocument/2006/relationships/hyperlink" Target="https://webapp.sebgroup.com/mb/mblib.nsf/dld/C882785365792AC9C12587D700312ACF?opendocument" TargetMode="External"/><Relationship Id="rId23" Type="http://schemas.openxmlformats.org/officeDocument/2006/relationships/hyperlink" Target="https://webapp.sebgroup.com/mb/mblib.nsf/dld/B1113F0C7B3136E4C12587D70030204B?opendocument" TargetMode="External"/><Relationship Id="rId24" Type="http://schemas.openxmlformats.org/officeDocument/2006/relationships/hyperlink" Target="https://www.ts.ee/wp-content/uploads/2026/04/Sustainability_Report_2025.pdf#page=18" TargetMode="External"/><Relationship Id="rId25" Type="http://schemas.openxmlformats.org/officeDocument/2006/relationships/hyperlink" Target="https://webapp.sebgroup.com/mb/mblib.nsf/dld/B6C87DACA17DDE3CC1258B5C006292E0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