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Issuer review · 1H2026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3Q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Profit fell about a fifth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The 7.75% bond XS2633112565 was redeemed in June 2026 and is no longer outstanding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37.4 EUR m</w:t>
            </w:r>
          </w:p>
          <w:p>
            <w:r>
              <w:rPr>
                <w:color w:val="5F6B7A"/>
                <w:sz w:val="16"/>
              </w:rPr>
              <w:t>▼ 19.0 %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7.7%</w:t>
            </w:r>
          </w:p>
          <w:p>
            <w:r>
              <w:rPr>
                <w:color w:val="5F6B7A"/>
                <w:sz w:val="16"/>
              </w:rPr>
              <w:t>▼ 0.9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19.6%</w:t>
            </w:r>
          </w:p>
          <w:p>
            <w:r>
              <w:rPr>
                <w:color w:val="5F6B7A"/>
                <w:sz w:val="16"/>
              </w:rPr>
              <w:t>▼ 1 p. p. vs 1H2025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187.0%</w:t>
            </w:r>
          </w:p>
          <w:p>
            <w:r>
              <w:rPr>
                <w:color w:val="5F6B7A"/>
                <w:sz w:val="16"/>
              </w:rPr>
              <w:t>▲ 23.7 p. p. vs 1H2025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65.5%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7.7%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 of risk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margin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19.6%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23.7%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9.9%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187.0%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142.3%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2.1%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Loans to customers EUR 11,903.2m (+3.6% since YE2025), deposits EUR 12,275.5m (+6.6%; changes calculated by the tool)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Net interest income 1H EUR 214.4m; net interest margin 2.70% (2025: 2.71%)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EUR 74.0m of dividends for 2025 paid in 1H 2026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500m SNP issued in 1H 2026; Moody's affirmed the rating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Planned for Q4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Sale to OTP Bank (100%) announced 2026-07-20, approvals pending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bank is not active in excluded sectors.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energy lending is growing (EUR 305.4m in 2025)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 in public sources and the news scan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AML fines reported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only regulatory note in 2025 was a Finantsinspektsioon precept on basic payment service procedures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0"/>
        <w:ind w:left="397"/>
      </w:pPr>
      <w:r>
        <w:rPr>
          <w:b/>
          <w:color w:val="333333"/>
          <w:sz w:val="19"/>
        </w:rPr>
        <w:t>Possible match – review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US OFAC: otvetstvennostyu streloi | streloi ooo | streloy llc | buzin ilya andreyevich | luminor logistics | toropova yekaterina | toropova ekaterina vladimirovna | ahmadi nej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in the automatic news scan (last 30 days, 2026-10-22)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Most news is about the OTP Bank deal.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energy lending EUR 305.4m in 2025 (EUR 182.4m in 2024), target EUR 700m by 2030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or sustainability-linked bonds 7.4% of the bond portfolio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 (low risk)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to become climate neutral by 2050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measured with the PCAF method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or sustainability-linked bonds 7.4% of the bond portfolio, target 50% by 2030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Ownership will move to OTP Bank (Hungary) once approvals are received</w:t>
      </w:r>
      <w:hyperlink r:id="rId1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SEB sector policy for banks, so the Investments policy and the Environmental and Social &amp; Human Rights policies apply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breach of governance or international norms found (quick search, 2026-10-22)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disclosed using PCAF (Scope 3 3.2m t CO2e in 2025)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neutrality target for 2050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lending EUR 305.4m, target EUR 700m by 2030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 (low risk)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Human rights commitment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AML and sanctions compliance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Anti-bribery measures and whistleblowing channels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public lending exclusion list (coal, oil &amp; gas, weapons) or UN Global Compact membership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capital, liquidity and ESG practices are solid.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(Scope 3) 3.2m t CO2e in 2025, PCAF method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Women on the Supervisory Council 33.3% (target 40%)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18.4, low risk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Solid ESG practice: financed emissions measured (PCAF), climate-neutrality target, growing green lending and a low ESG risk rating. Ownership moves to OTP Bank.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7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5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Luminor Bank - Annual report 2025, p. 29, 2026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ee/s3fs-public/documents/final-terms-11.pdf" TargetMode="External"/><Relationship Id="rId14" Type="http://schemas.openxmlformats.org/officeDocument/2006/relationships/hyperlink" Target="https://luminor.lv/sites/default/files/docs/finansu_parskati/luminor_bank_interim_report_2q26.pdf" TargetMode="External"/><Relationship Id="rId15" Type="http://schemas.openxmlformats.org/officeDocument/2006/relationships/hyperlink" Target="https://luminor.lv/sites/default/files/docs/finansu_parskati/luminor_bank_interim_report_2q26.pdf#page=4" TargetMode="External"/><Relationship Id="rId16" Type="http://schemas.openxmlformats.org/officeDocument/2006/relationships/hyperlink" Target="https://luminor.lv/sites/default/files/docs/finansu_parskati/luminor_bank_annual_report_2025-lv.pdf#page=7" TargetMode="External"/><Relationship Id="rId17" Type="http://schemas.openxmlformats.org/officeDocument/2006/relationships/hyperlink" Target="https://luminor.lv/sites/default/files/docs/finansu_parskati/luminor_bank_interim_report_2q26.pdf#page=16" TargetMode="External"/><Relationship Id="rId18" Type="http://schemas.openxmlformats.org/officeDocument/2006/relationships/hyperlink" Target="https://luminor.lv/sites/default/files/docs/finansu_parskati/luminor_bank_annual_report_2025-lv.pdf#page=2" TargetMode="External"/><Relationship Id="rId19" Type="http://schemas.openxmlformats.org/officeDocument/2006/relationships/hyperlink" Target="https://luminor.lv/sites/default/files/docs/finansu_parskati/luminor_bank_interim_report_2q26.pdf#page=9" TargetMode="External"/><Relationship Id="rId20" Type="http://schemas.openxmlformats.org/officeDocument/2006/relationships/hyperlink" Target="https://luminor.lv/sites/default/files/docs/finansu_parskati/luminor_bank_annual_report_2025-lv.pdf#page=8" TargetMode="External"/><Relationship Id="rId21" Type="http://schemas.openxmlformats.org/officeDocument/2006/relationships/hyperlink" Target="https://luminor.lv/sites/default/files/docs/finansu_parskati/luminor_bank_interim_report_2q26.pdf#page=6" TargetMode="External"/><Relationship Id="rId22" Type="http://schemas.openxmlformats.org/officeDocument/2006/relationships/hyperlink" Target="https://luminor.lv/sites/default/files/docs/finansu_parskati/luminor_bank_interim_report_2q26.pdf#page=7" TargetMode="External"/><Relationship Id="rId23" Type="http://schemas.openxmlformats.org/officeDocument/2006/relationships/hyperlink" Target="https://luminor.lv/sites/default/files/docs/finansu_parskati/luminor_bank_annual_report_2025-lv.pdf#page=10" TargetMode="External"/><Relationship Id="rId24" Type="http://schemas.openxmlformats.org/officeDocument/2006/relationships/hyperlink" Target="https://luminor.lv/sites/default/files/docs/finansu_parskati/luminor_bank_interim_report_2q26.pdf#page=8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luminor.lv/sites/default/files/docs/finansu_parskati/luminor_bank_annual_report_2025-lv.pdf" TargetMode="External"/><Relationship Id="rId27" Type="http://schemas.openxmlformats.org/officeDocument/2006/relationships/hyperlink" Target="https://luminor.lv/sites/default/files/docs/finansu_parskati/luminor_bank_annual_report_2025-lv.pdf#page=5" TargetMode="External"/><Relationship Id="rId28" Type="http://schemas.openxmlformats.org/officeDocument/2006/relationships/hyperlink" Target="https://luminor.ee/s3fs-public/documents/final-terms-13.pdf" TargetMode="External"/><Relationship Id="rId29" Type="http://schemas.openxmlformats.org/officeDocument/2006/relationships/hyperlink" Target="https://luminor.ee/s3fs-public/documents/final-terms-15.pdf" TargetMode="External"/><Relationship Id="rId30" Type="http://schemas.openxmlformats.org/officeDocument/2006/relationships/hyperlink" Target="https://luminor.lv/en/placements" TargetMode="External"/><Relationship Id="rId31" Type="http://schemas.openxmlformats.org/officeDocument/2006/relationships/hyperlink" Target="https://luminor.lv/sites/default/files/docs/finansu_parskati/luminor_bank_annual_report_2025-lv.pdf#page=19" TargetMode="External"/><Relationship Id="rId32" Type="http://schemas.openxmlformats.org/officeDocument/2006/relationships/hyperlink" Target="https://luminor.lv/sites/default/files/docs/finansu_parskati/luminor_bank_annual_report_2025-lv.pdf#page=16" TargetMode="External"/><Relationship Id="rId33" Type="http://schemas.openxmlformats.org/officeDocument/2006/relationships/hyperlink" Target="https://luminor.lv/sites/default/files/docs/finansu_parskati/luminor_bank_annual_report_2025-lv.pdf#page=22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luminor.lv/sites/default/files/docs/finansu_parskati/luminor_bank_annual_report_2025-lv.pdf#page=18" TargetMode="External"/><Relationship Id="rId36" Type="http://schemas.openxmlformats.org/officeDocument/2006/relationships/hyperlink" Target="https://luminor.lv/sites/default/files/docs/finansu_parskati/luminor_bank_annual_report_2025-lv.pdf#page=23" TargetMode="External"/><Relationship Id="rId37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