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0.7 %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3.49x</w:t>
            </w:r>
          </w:p>
          <w:p>
            <w:r>
              <w:rPr>
                <w:color w:val="5F6B7A"/>
                <w:sz w:val="16"/>
              </w:rPr>
              <w:t>▼ 0.01x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 w:val="0"/>
        </w:rPr>
        <w:t>6M Adjusted EBITDA EUR 306.6m (+1.9%). Networks and Customers &amp; Solutions grew, Green Capacities declined (EUR 149.2m vs 166.6m)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2026 guidance of EUR 550-600m reiterated; 6M equals 51-56% of it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stable:</w:t>
      </w:r>
      <w:r>
        <w:rPr>
          <w:b w:val="0"/>
        </w:rPr>
        <w:t xml:space="preserve"> net debt EUR 1,925.3m (+0.7% since YE2025), net debt / Adjusted EBITDA 3.49x, FFO / net debt 22.2% (strategic target ≥23%)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unchanged:</w:t>
      </w:r>
      <w:r>
        <w:rPr>
          <w:b w:val="0"/>
        </w:rPr>
        <w:t xml:space="preserve"> S&amp;P BBB+ (stable, 2026-07-28), Moody's Baa1 (stable, first-time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Relevant for held bond XS1646530565 (2.000%, 2027-07-14):</w:t>
      </w:r>
      <w:r>
        <w:rPr>
          <w:b w:val="0"/>
        </w:rPr>
        <w:t xml:space="preserve"> tender offer announced on 2026-10-19, financed with a new EUR 300m 4.500% EuGB bond due 2031-10-27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Adjusted net profit fell 20.8% to EUR 115.8m; Adjusted ROCE (LTM) 6.7% (8.6% a year earlier)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3.49x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22.2%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6.7%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EBITDA declined due to weaker wind in Q1-Q2 and a lower hedge price (EUR 130 → 82/MWh)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2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587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26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weapons, tobacco or gambling. No coal generation and no oil &amp; gas exploration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red flags (UNGC / OECD breaches) found in public sources and the news scan (2026-10-22). Ignitis states it upholds the UN Global Compact principles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automatic news scan (LT, LV, EE, EN; 30 days) found no adverse headlines.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b w:val="0"/>
          <w:color w:val="333333"/>
          <w:sz w:val="19"/>
        </w:rPr>
        <w:t>; 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EU Taxonomy-aligned capex 84.7% in 2025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SBTi-validated targets in line with 1.5°C; net zero by 2050 or sooner</w:t>
      </w:r>
      <w:hyperlink r:id="rId32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Possible yellow flag: a contractor employee was fatally injured in February 2026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 Scope 1 emissions rose 54.7% in 2025 due to higher gas generation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>Applicable:</w:t>
      </w:r>
      <w:r>
        <w:rPr>
          <w:b w:val="0"/>
          <w:color w:val="333333"/>
          <w:sz w:val="19"/>
        </w:rPr>
        <w:t xml:space="preserve"> the SEB Investments policy</w:t>
      </w:r>
      <w:hyperlink r:id="rId33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, the Electricity &amp; Renewable Energy policy, since green generation and networks make up more than 15% of revenue</w:t>
      </w:r>
      <w:hyperlink r:id="rId34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, and the Fossil Fuels policy for gas distribution, gas supply and the Elektrėnai reserve plants. The gas revenue share was not found</w:t>
      </w:r>
      <w:hyperlink r:id="rId35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Requirements met:</w:t>
      </w:r>
      <w:r>
        <w:rPr>
          <w:b w:val="0"/>
          <w:color w:val="333333"/>
          <w:sz w:val="19"/>
        </w:rPr>
        <w:t xml:space="preserve"> Scope 1-3 emissions disclosed (4.49m t CO2e in 2025) and SBTi-validated 1.5°C targets</w:t>
      </w:r>
      <w:hyperlink r:id="rId37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; ISO 14001 environmental management at ESO, Ignitis gamyba, Ignitis and the Vilnius and Kaunas CHPs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 No coal, peat or oil &amp; gas extraction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Expectations met:</w:t>
      </w:r>
      <w:r>
        <w:rPr>
          <w:b w:val="0"/>
          <w:color w:val="333333"/>
          <w:sz w:val="19"/>
        </w:rPr>
        <w:t xml:space="preserve"> ISO 45001 safety management, no fatal accidents in 2025</w:t>
      </w:r>
      <w:hyperlink r:id="rId39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; trust line for anonymous reports</w:t>
      </w:r>
      <w:hyperlink r:id="rId40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; anti-corruption policy and ISO 37001 certification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0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; UN Global Compact</w:t>
      </w:r>
      <w:hyperlink r:id="rId37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b w:val="0"/>
          <w:color w:val="333333"/>
          <w:sz w:val="19"/>
        </w:rPr>
        <w:t>; integrated annual report with climate data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biodiversity monitoring and mitigation measures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Not found / to check:</w:t>
      </w:r>
      <w:r>
        <w:rPr>
          <w:b w:val="0"/>
          <w:color w:val="333333"/>
          <w:sz w:val="19"/>
        </w:rPr>
        <w:t xml:space="preserve"> a named human rights due diligence process and quantified biodiversity targets</w:t>
      </w:r>
      <w:hyperlink r:id="rId34">
        <w:r>
          <w:rPr>
            <w:color w:val="2A78D6"/>
            <w:vertAlign w:val="superscript"/>
            <w:sz w:val="16"/>
          </w:rPr>
          <w:t xml:space="preserve">38</w:t>
        </w:r>
      </w:hyperlink>
      <w:r>
        <w:rPr>
          <w:b w:val="0"/>
          <w:color w:val="333333"/>
          <w:sz w:val="19"/>
        </w:rPr>
        <w:t>; country-by-country tax report (listed at</w:t>
      </w:r>
      <w:hyperlink r:id="rId42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b w:val="0"/>
          <w:color w:val="333333"/>
          <w:sz w:val="19"/>
        </w:rPr>
        <w:t>, not read).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need identified. Possible topics: share of gas generation and Scope 1 growth, contractor safety.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Available PAI data: total GHG emissions 4.49m t CO2e (+10.1%)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carbon intensity (Scope 1+2) 214 g CO2e/kWh in Q1 2026 (−12.8%)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; Taxonomy-aligned capex 84.7%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Comparison with the Fund's targets - analyst.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Exclusionary screening without findings (sanctions and media to be confirmed by the analyst). Positives: high Taxonomy-aligned capex, SBTi targets. Watch the share of gas generation and safety.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6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9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23 (verify revenue and net profit in the PDF),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4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6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7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9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40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7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4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2">
        <w:r>
          <w:rPr>
            <w:color w:val="2A78D6"/>
            <w:sz w:val="17"/>
          </w:rPr>
          <w:t xml:space="preserve">Integrated Annual Report 2025, p. 429,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24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sites/default/files/public/inline-files/Ignitis%20Group%20Strategic%20Plan%202026%202029.pdf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3" TargetMode="External"/><Relationship Id="rId24" Type="http://schemas.openxmlformats.org/officeDocument/2006/relationships/hyperlink" Target="https://ignitisgrupe.lt/sites/default/files/public/inline-files/Integrated%20Annual%20Report%202025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ignitisgrupe.lt/sites/default/files/public/inline-files/First%20six%20months%202026%20interim%20report.pdf#page=5" TargetMode="External"/><Relationship Id="rId27" Type="http://schemas.openxmlformats.org/officeDocument/2006/relationships/hyperlink" Target="https://ignitisgrupe.lt/sites/default/files/public/inline-files/Transcript.%20Investor%20presentation_6M%202026%20results.pdf" TargetMode="External"/><Relationship Id="rId28" Type="http://schemas.openxmlformats.org/officeDocument/2006/relationships/hyperlink" Target="https://ignitisgrupe.lt/sites/default/files/public/inline-files/First%20six%20months%202026%20interim%20report.pdf#page=6" TargetMode="External"/><Relationship Id="rId29" Type="http://schemas.openxmlformats.org/officeDocument/2006/relationships/hyperlink" Target="https://data.fca.org.uk/artefacts/NSM/GNW/b8cfd694-6694-4d57-bf10-2bb5ed7ce1a4.html" TargetMode="External"/><Relationship Id="rId30" Type="http://schemas.openxmlformats.org/officeDocument/2006/relationships/hyperlink" Target="https://ignitisgrupe.lt/sites/default/files/public/inline-files/Integrated%20Annual%20Report%202025.pdf#page=27" TargetMode="External"/><Relationship Id="rId31" Type="http://schemas.openxmlformats.org/officeDocument/2006/relationships/hyperlink" Target="https://ignitisgrupe.lt/sites/default/files/public/inline-files/First%20six%20months%202026%20interim%20report.pdf#page=17" TargetMode="External"/><Relationship Id="rId32" Type="http://schemas.openxmlformats.org/officeDocument/2006/relationships/hyperlink" Target="https://ignitisgrupe.lt/sites/default/files/public/inline-files/Integrated%20Annual%20Report%202025.pdf#page=10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webapp.sebgroup.com/mb/mblib.nsf/dld/60D2454400789893C12587D70030AFC1?opendocument" TargetMode="External"/><Relationship Id="rId35" Type="http://schemas.openxmlformats.org/officeDocument/2006/relationships/hyperlink" Target="https://ignitisgrupe.lt/sites/default/files/public/inline-files/Integrated%20Annual%20Report%202025.pdf#page=24" TargetMode="External"/><Relationship Id="rId36" Type="http://schemas.openxmlformats.org/officeDocument/2006/relationships/hyperlink" Target="https://webapp.sebgroup.com/mb/mblib.nsf/dld/80AF6A2E5F88CDC2C12586B1002E33C2?opendocument" TargetMode="External"/><Relationship Id="rId37" Type="http://schemas.openxmlformats.org/officeDocument/2006/relationships/hyperlink" Target="https://ignitisgrupe.lt/sites/default/files/public/inline-files/Integrated%20Annual%20Report%202025.pdf#page=8" TargetMode="External"/><Relationship Id="rId38" Type="http://schemas.openxmlformats.org/officeDocument/2006/relationships/hyperlink" Target="https://ignitisgrupe.lt/tvarumo-valdymas/politikos-ir-sertifikatai" TargetMode="External"/><Relationship Id="rId39" Type="http://schemas.openxmlformats.org/officeDocument/2006/relationships/hyperlink" Target="https://ignitisgrupe.lt/sites/default/files/public/inline-files/Integrated%20Annual%20Report%202025.pdf#page=16" TargetMode="External"/><Relationship Id="rId40" Type="http://schemas.openxmlformats.org/officeDocument/2006/relationships/hyperlink" Target="https://ignitisgrupe.lt/tvarumo-prioritetai/verslo-etika" TargetMode="External"/><Relationship Id="rId41" Type="http://schemas.openxmlformats.org/officeDocument/2006/relationships/hyperlink" Target="https://ignitisgrupe.lt/tvarumo-prioritetai/gamta" TargetMode="External"/><Relationship Id="rId42" Type="http://schemas.openxmlformats.org/officeDocument/2006/relationships/hyperlink" Target="https://ignitisgrupe.lt/sites/default/files/public/inline-files/Integrated%20Annual%20Report%202025.pdf#page=4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