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306,6 mln. EUR</w:t>
            </w:r>
          </w:p>
          <w:p>
            <w:r>
              <w:rPr>
                <w:color w:val="5F6B7A"/>
                <w:sz w:val="16"/>
              </w:rPr>
              <w:t>▲ 1,9 %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Koreguotas 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115,8 mln. EUR</w:t>
            </w:r>
          </w:p>
          <w:p>
            <w:r>
              <w:rPr>
                <w:color w:val="5F6B7A"/>
                <w:sz w:val="16"/>
              </w:rPr>
              <w:t>▼ 20,8 %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1 925,3 mln. EUR</w:t>
            </w:r>
          </w:p>
          <w:p>
            <w:r>
              <w:rPr>
                <w:color w:val="5F6B7A"/>
                <w:sz w:val="16"/>
              </w:rPr>
              <w:t>▲ 0,7 %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3,49x</w:t>
            </w:r>
          </w:p>
          <w:p>
            <w:r>
              <w:rPr>
                <w:color w:val="5F6B7A"/>
                <w:sz w:val="16"/>
              </w:rPr>
              <w:t>▼ 0,01x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6 mėn. koreguota EBITDA – 306,6 mln. EUR (+1,9 %). Augo Tinklai ir Klientai ir sprendimai, mažėjo Žalioji generacija (149,2 mln. EUR, 2025 m. – 166,6 mln.)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2026 m. prognozė 550–600 mln. EUR patvirtinta; per pusmetį pasiekta 51–56 % jos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stabili:</w:t>
      </w:r>
      <w:r>
        <w:rPr>
          <w:b w:val="0"/>
        </w:rPr>
        <w:t xml:space="preserve"> grynoji skola 1 925,3 mln. EUR (+0,7 % nuo 2025 m. pabaigos), grynoji skola / koreguota EBITDA 3,49x, FFO / grynoji skola 22,2 % (strateginis tikslas ≥23 %)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Reitingai nepakito:</w:t>
      </w:r>
      <w:r>
        <w:rPr>
          <w:b w:val="0"/>
        </w:rPr>
        <w:t xml:space="preserve"> S&amp;P BBB+ (stabili, 2026-07-28), Moody's Baa1 (stabili, pirmas reitingas 2026 m.)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Svarbu turimai obligacijai XS1646530565 (2,000 %, 2027-07-14): 2026-10-19 paskelbtas supirkimo pasiūlymas (tender offer), finansuojamas nauja 300 mln. EUR 4,500 % EuGB obligacija iki 2031-10-27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Koreguotas grynasis pelnas sumažėjo 20,8 % iki 115,8 mln. EUR; koreguota ROCE (12 mėn.) – 6,7 % (buvo 8,6 %)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Issuer pages differ on dates (newer page: 2018-07-10 / 2028-07-10; older page: 2017/2027)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1 497,5*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303,5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Koreguotas 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115,8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113,2*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Investicijos,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306,1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251,4*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Laisvieji pinigų srautai,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5,3*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1 925,3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3,49x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22,2 %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Koreguota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6,7 %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2 494,7*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2 636,1*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6 339,2*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akcijai, EUR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0,704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1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2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6 mėn. pajamos 1 497,5 mln. EUR (+15,4 %), EBITDA 303,5 mln. EUR (262,5 mln.), grynasis pelnas 113,2 mln. EUR (111,4 mln.)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251,4 mln. EUR (+11,3 %), laisvieji pinigų srautai 5,3 mln. EUR (64,0 mln.); investicijos 306,1 mln. EUR (343,2 mln., −10,8 %)</w:t>
      </w:r>
      <w:hyperlink r:id="rId22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306,6 mln. EUR; prognozė patvirtinta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 mėn. – 306,1 mln. EUR (44–52 % intervalo)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pab. – 21,0 %, 2026-06-30 (12 mėn.) – 22,2 %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587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3,49x; S&amp;P BBB+, Moody's Baa1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1,366 EUR (+3,0 %); 2026 m. I pusm. 0,704 EUR (+3,1 %)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2,1 GW, statoma 0,7 GW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26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Ginklų, tabako ir lošimų veiklos nėra. Anglies generacijos nėra, naftos ir dujų žvalgybos nėra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Turi dujomis kūrenamą Elektrėnų kompleksą (rezervinė galia) ir tiekia dujas klientams – SEB iškastinio kuro politika tokios veiklos nedraudžia (ribojama anglis &gt;5 % pajamų ir nauja žvalgyba).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Raudonų signalų (UNGC, OECD pažeidimų) viešuose šaltiniuose ir naujienų paieškoje nerasta (2026-10-22). Ignitis skelbia, kad laikosi UN Global Compact principų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Automatinė naujienų paieška (LT, LV, EE, EN; 30 d.) neigiamų antraščių nerado.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Pagrindinė veikla – žalioji generacija (įrengta 2,1 GW, statoma 0,6 GW) ir elektros tinklai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  <w:r>
        <w:rPr>
          <w:b w:val="0"/>
          <w:color w:val="333333"/>
          <w:sz w:val="19"/>
        </w:rPr>
        <w:t>; žaliosios obligacijos ir nauja ES žaliųjų obligacijų standarto (EuGB) obligacija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ES taksonomiją atitinkančios investicijos 2025 m. –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SBTi patvirtino tikslus pagal 1,5 °C trajektoriją; nulinė emisija iki 2050 m. ar anksčiau</w:t>
      </w:r>
      <w:hyperlink r:id="rId32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Galimas geltonas signalas: 2026 m. vasarį žuvo rangovo darbuotojas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 1 apimties emisijos 2025 m. išaugo 54,7 % dėl didesnės dujų generacijos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>Taikoma:</w:t>
      </w:r>
      <w:r>
        <w:rPr>
          <w:b w:val="0"/>
          <w:color w:val="333333"/>
          <w:sz w:val="19"/>
        </w:rPr>
        <w:t xml:space="preserve"> SEB investicijų politika</w:t>
      </w:r>
      <w:hyperlink r:id="rId33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, elektros ir atsinaujinančios energetikos politika, nes žalioji gamyba ir tinklai sudaro daugiau nei 15 % pajamų</w:t>
      </w:r>
      <w:hyperlink r:id="rId34">
        <w:r>
          <w:rPr>
            <w:color w:val="2A78D6"/>
            <w:vertAlign w:val="superscript"/>
            <w:sz w:val="16"/>
          </w:rPr>
          <w:t xml:space="preserve">29</w:t>
        </w:r>
      </w:hyperlink>
      <w:r>
        <w:rPr>
          <w:b w:val="0"/>
          <w:color w:val="333333"/>
          <w:sz w:val="19"/>
        </w:rPr>
        <w:t>, ir iškastinio kuro politika dėl dujų skirstymo, dujų tiekimo ir Elektrėnų rezervinių elektrinių. Dujų pajamų dalis nerasta</w:t>
      </w:r>
      <w:hyperlink r:id="rId35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Reikalavimai įvykdyti:</w:t>
      </w:r>
      <w:r>
        <w:rPr>
          <w:b w:val="0"/>
          <w:color w:val="333333"/>
          <w:sz w:val="19"/>
        </w:rPr>
        <w:t xml:space="preserve"> atskleistos 1–3 apimties emisijos (4,49 mln. t CO2e 2025 m.) ir SBTi patvirtinti 1,5 °C tikslai</w:t>
      </w:r>
      <w:hyperlink r:id="rId37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; ISO 14001 aplinkosaugos vadyba ESO, „Ignitis gamyboje“, „Ignitis“ bei Vilniaus ir Kauno kogeneracinėse jėgainėse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 Anglies, durpių ar naftos ir dujų gavybos nėra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Lūkesčiai įvykdyti:</w:t>
      </w:r>
      <w:r>
        <w:rPr>
          <w:b w:val="0"/>
          <w:color w:val="333333"/>
          <w:sz w:val="19"/>
        </w:rPr>
        <w:t xml:space="preserve"> ISO 45001 saugos vadyba, 2025 m. mirtinų nelaimingų atsitikimų nebuvo</w:t>
      </w:r>
      <w:hyperlink r:id="rId39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; pasitikėjimo linija anoniminiams pranešimams</w:t>
      </w:r>
      <w:hyperlink r:id="rId40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; antikorupcijos politika ir ISO 37001 sertifikatas</w:t>
      </w:r>
      <w:hyperlink r:id="rId38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0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; JT Pasaulinis susitarimas</w:t>
      </w:r>
      <w:hyperlink r:id="rId37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b w:val="0"/>
          <w:color w:val="333333"/>
          <w:sz w:val="19"/>
        </w:rPr>
        <w:t>; integruota metinė ataskaita su klimato duomenimis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biologinės įvairovės stebėsena ir poveikio mažinimo priemonės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Nerasta / patikrinti:</w:t>
      </w:r>
      <w:r>
        <w:rPr>
          <w:b w:val="0"/>
          <w:color w:val="333333"/>
          <w:sz w:val="19"/>
        </w:rPr>
        <w:t xml:space="preserve"> įvardyto žmogaus teisių patikrinimo proceso ir kiekybinių biologinės įvairovės tikslų</w:t>
      </w:r>
      <w:hyperlink r:id="rId34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; ataskaitos apie pelno mokestį pagal šalis (nurodyta</w:t>
      </w:r>
      <w:hyperlink r:id="rId42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b w:val="0"/>
          <w:color w:val="333333"/>
          <w:sz w:val="19"/>
        </w:rPr>
        <w:t>, neperskaityta).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Būtinybės nenustatyta. Galimos temos: dujų generacijos dalis ir 1 apimties emisijų augimas, rangovų sauga.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Turimi PAI duomenys: bendros ŠESD emisijos 4,49 mln. t CO2e (+10,1 %)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; anglies intensyvumas (1+2) 214 g CO2e/kWh I ketv. 2026 (−12,8 %)</w:t>
      </w:r>
      <w:hyperlink r:id="rId29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; taksonomiją atitinkančios investicijos 84,7 %</w:t>
      </w:r>
      <w:hyperlink r:id="rId2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 Palyginti su fondo tikslais – analitikas.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patikra be pastabų (sankcijas ir žiniasklaidą patvirtina analitikas). Teigiama: didelė taksonomiją atitinkančių investicijų dalis, SBTi tikslai. Stebėti dujų generacijos dalį ir saugą.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6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9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23 (pajamas ir grynąjį pelną patikrinti PDF),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6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6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2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6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7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9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40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7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4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2">
        <w:r>
          <w:rPr>
            <w:color w:val="2A78D6"/>
            <w:sz w:val="17"/>
          </w:rPr>
          <w:t xml:space="preserve">Integrated Annual Report 2025, p. 429, 2026-02-25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24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sites/default/files/public/inline-files/First%20six%20months%202026%20interim%20report.pdf#page=10" TargetMode="External"/><Relationship Id="rId15" Type="http://schemas.openxmlformats.org/officeDocument/2006/relationships/hyperlink" Target="https://ignitisgrupe.lt/sites/default/files/public/inline-files/Ignitis%20Group%20Strategic%20Plan%202026%202029.pdf" TargetMode="External"/><Relationship Id="rId16" Type="http://schemas.openxmlformats.org/officeDocument/2006/relationships/hyperlink" Target="https://ignitisgrupe.lt/en/investors/bonds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3" TargetMode="External"/><Relationship Id="rId24" Type="http://schemas.openxmlformats.org/officeDocument/2006/relationships/hyperlink" Target="https://ignitisgrupe.lt/sites/default/files/public/inline-files/Integrated%20Annual%20Report%202025.pdf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ignitisgrupe.lt/sites/default/files/public/inline-files/First%20six%20months%202026%20interim%20report.pdf#page=5" TargetMode="External"/><Relationship Id="rId27" Type="http://schemas.openxmlformats.org/officeDocument/2006/relationships/hyperlink" Target="https://ignitisgrupe.lt/sites/default/files/public/inline-files/Transcript.%20Investor%20presentation_6M%202026%20results.pdf" TargetMode="External"/><Relationship Id="rId28" Type="http://schemas.openxmlformats.org/officeDocument/2006/relationships/hyperlink" Target="https://ignitisgrupe.lt/sites/default/files/public/inline-files/First%20six%20months%202026%20interim%20report.pdf#page=6" TargetMode="External"/><Relationship Id="rId29" Type="http://schemas.openxmlformats.org/officeDocument/2006/relationships/hyperlink" Target="https://data.fca.org.uk/artefacts/NSM/GNW/b8cfd694-6694-4d57-bf10-2bb5ed7ce1a4.html" TargetMode="External"/><Relationship Id="rId30" Type="http://schemas.openxmlformats.org/officeDocument/2006/relationships/hyperlink" Target="https://ignitisgrupe.lt/sites/default/files/public/inline-files/Integrated%20Annual%20Report%202025.pdf#page=27" TargetMode="External"/><Relationship Id="rId31" Type="http://schemas.openxmlformats.org/officeDocument/2006/relationships/hyperlink" Target="https://ignitisgrupe.lt/sites/default/files/public/inline-files/First%20six%20months%202026%20interim%20report.pdf#page=17" TargetMode="External"/><Relationship Id="rId32" Type="http://schemas.openxmlformats.org/officeDocument/2006/relationships/hyperlink" Target="https://ignitisgrupe.lt/sites/default/files/public/inline-files/Integrated%20Annual%20Report%202025.pdf#page=10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webapp.sebgroup.com/mb/mblib.nsf/dld/60D2454400789893C12587D70030AFC1?opendocument" TargetMode="External"/><Relationship Id="rId35" Type="http://schemas.openxmlformats.org/officeDocument/2006/relationships/hyperlink" Target="https://ignitisgrupe.lt/sites/default/files/public/inline-files/Integrated%20Annual%20Report%202025.pdf#page=24" TargetMode="External"/><Relationship Id="rId36" Type="http://schemas.openxmlformats.org/officeDocument/2006/relationships/hyperlink" Target="https://webapp.sebgroup.com/mb/mblib.nsf/dld/80AF6A2E5F88CDC2C12586B1002E33C2?opendocument" TargetMode="External"/><Relationship Id="rId37" Type="http://schemas.openxmlformats.org/officeDocument/2006/relationships/hyperlink" Target="https://ignitisgrupe.lt/sites/default/files/public/inline-files/Integrated%20Annual%20Report%202025.pdf#page=8" TargetMode="External"/><Relationship Id="rId38" Type="http://schemas.openxmlformats.org/officeDocument/2006/relationships/hyperlink" Target="https://ignitisgrupe.lt/tvarumo-valdymas/politikos-ir-sertifikatai" TargetMode="External"/><Relationship Id="rId39" Type="http://schemas.openxmlformats.org/officeDocument/2006/relationships/hyperlink" Target="https://ignitisgrupe.lt/sites/default/files/public/inline-files/Integrated%20Annual%20Report%202025.pdf#page=16" TargetMode="External"/><Relationship Id="rId40" Type="http://schemas.openxmlformats.org/officeDocument/2006/relationships/hyperlink" Target="https://ignitisgrupe.lt/tvarumo-prioritetai/verslo-etika" TargetMode="External"/><Relationship Id="rId41" Type="http://schemas.openxmlformats.org/officeDocument/2006/relationships/hyperlink" Target="https://ignitisgrupe.lt/tvarumo-prioritetai/gamta" TargetMode="External"/><Relationship Id="rId42" Type="http://schemas.openxmlformats.org/officeDocument/2006/relationships/hyperlink" Target="https://ignitisgrupe.lt/sites/default/files/public/inline-files/Integrated%20Annual%20Report%202025.pdf#page=4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