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Luminor Bank</w:t>
      </w:r>
    </w:p>
    <w:p>
      <w:r>
        <w:rPr>
          <w:color w:val="5F6B7A"/>
          <w:sz w:val="24"/>
        </w:rPr>
        <w:t>Issuer review · 1H2026</w:t>
      </w:r>
    </w:p>
    <w:p>
      <w:pPr>
        <w:spacing w:after="0"/>
      </w:pPr>
      <w:r>
        <w:rPr>
          <w:b/>
          <w:sz w:val="19"/>
        </w:rPr>
        <w:t xml:space="preserve">Analysis date: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Rating: </w:t>
      </w:r>
      <w:r>
        <w:rPr>
          <w:b w:val="0"/>
          <w:sz w:val="19"/>
        </w:rPr>
        <w:t>Moody's - affirmed after the OTP announcement (grade to be confirmed; 2025 annual report refers to 'current A2 rating')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  <w:r>
        <w:rPr>
          <w:color w:val="2A78D6"/>
          <w:vertAlign w:val="superscript"/>
        </w:rPr>
        <w:t>,</w:t>
      </w:r>
      <w:hyperlink r:id="rId11">
        <w:r>
          <w:rPr>
            <w:color w:val="2A78D6"/>
            <w:vertAlign w:val="superscript"/>
            <w:sz w:val="16"/>
          </w:rPr>
          <w:t xml:space="preserve">2</w:t>
        </w:r>
      </w:hyperlink>
    </w:p>
    <w:p>
      <w:pPr>
        <w:spacing w:after="0"/>
      </w:pPr>
      <w:r>
        <w:rPr>
          <w:b/>
          <w:sz w:val="19"/>
        </w:rPr>
        <w:t xml:space="preserve">Next report: </w:t>
      </w:r>
      <w:r>
        <w:rPr>
          <w:b w:val="0"/>
          <w:sz w:val="19"/>
        </w:rPr>
        <w:t>3Q 2026 interim report - expected November 2026</w:t>
      </w:r>
    </w:p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Net profit (2Q2026)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37.4 EUR m</w:t>
            </w:r>
          </w:p>
          <w:p>
            <w:r>
              <w:rPr>
                <w:color w:val="5F6B7A"/>
                <w:sz w:val="16"/>
              </w:rPr>
              <w:t>▼ 19.0 % vs 2Q2025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ROE (1H2026)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7.7%</w:t>
            </w:r>
          </w:p>
          <w:p>
            <w:r>
              <w:rPr>
                <w:color w:val="5F6B7A"/>
                <w:sz w:val="16"/>
              </w:rPr>
              <w:t>▼ 0.9 p. p. vs FY2025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CET1 ratio (1H2026)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19.6%</w:t>
            </w:r>
          </w:p>
          <w:p>
            <w:r>
              <w:rPr>
                <w:color w:val="5F6B7A"/>
                <w:sz w:val="16"/>
              </w:rPr>
              <w:t>▼ 0.6 p. p. vs FY2025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LCR (1H2026)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187.0%</w:t>
            </w:r>
          </w:p>
          <w:p>
            <w:r>
              <w:rPr>
                <w:color w:val="5F6B7A"/>
                <w:sz w:val="16"/>
              </w:rPr>
              <w:t>▲ 12.4 p. p. vs FY2025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Quick summary</w:t>
      </w:r>
    </w:p>
    <w:p>
      <w:pPr>
        <w:pStyle w:val="ListBullet"/>
        <w:spacing w:after="60"/>
      </w:pPr>
      <w:r>
        <w:rPr>
          <w:b/>
        </w:rPr>
        <w:t>1H 2026 net profit EUR 72.0m (1H 2025:</w:t>
      </w:r>
      <w:r>
        <w:rPr>
          <w:b w:val="0"/>
        </w:rPr>
        <w:t xml:space="preserve"> 91.6m), 2Q EUR 37.4m (46.2m); ROE 7.7%</w:t>
      </w:r>
      <w:hyperlink r:id="rId12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Capital and liquidity high:</w:t>
      </w:r>
      <w:r>
        <w:rPr>
          <w:b w:val="0"/>
        </w:rPr>
        <w:t xml:space="preserve"> CET1 19.6%, total capital 23.7%, MREL 36.34% of TREA (requirement 23.69% + buffers), LCR 187.0%, NSFR 142.3%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Change of owner:</w:t>
      </w:r>
      <w:r>
        <w:rPr>
          <w:b w:val="0"/>
        </w:rPr>
        <w:t xml:space="preserve"> on 2026-07-20 it was announced that OTP Bank will acquire 100% of Luminor Holding from the Blackstone-led consortium and DNB; regulatory approvals pending. Moody's affirmed the rating and outlook after the announcement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The regulator (ECB, 2026-07-17) approved a CET1 capital reduction of EUR 200.0m, expected in Q4 2026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Funding:</w:t>
      </w:r>
      <w:r>
        <w:rPr>
          <w:b w:val="0"/>
        </w:rPr>
        <w:t xml:space="preserve"> in 1H 2026 a EUR 300m senior bond (MS+4.471%) was redeemed and an inaugural EUR 500m senior non-preferred bond issued (MS+1.28%)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Instruments held and ISINs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Instrument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Coupon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Maturity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Note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XS2633112565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Luminor Bank 7.75% 2027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7.750%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2027-06-08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⚠ Amount/ranking/call date not on issuer placements page - check Final Terms</w:t>
            </w:r>
          </w:p>
        </w:tc>
      </w:tr>
      <w:tr>
        <w:tc>
          <w:tcPr>
            <w:tcW w:type="dxa" w:w="170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XS3079969104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Luminor Bank 3.551% 2029</w:t>
            </w:r>
          </w:p>
        </w:tc>
        <w:tc>
          <w:tcPr>
            <w:tcW w:type="dxa" w:w="96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3.551%</w:t>
            </w:r>
          </w:p>
        </w:tc>
        <w:tc>
          <w:tcPr>
            <w:tcW w:type="dxa" w:w="1304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2029-06-12</w:t>
            </w:r>
          </w:p>
        </w:tc>
        <w:tc>
          <w:tcPr>
            <w:tcW w:type="dxa" w:w="306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⚠ Placements page shows 12.06.2028 in maturity column but 2029 in name - likely call 2028 / final 2029; check Final Terms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XS2888497067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Luminor Bank 4.042% 2028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4.042%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2028-09-10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⚠ Amount/ranking/call date not on issuer placements page - check Final Terms</w:t>
            </w:r>
          </w:p>
        </w:tc>
      </w:tr>
      <w:tr>
        <w:tc>
          <w:tcPr>
            <w:tcW w:type="dxa" w:w="170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XS2982074861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Luminor Bank 7.375% perpetual (AT1?)</w:t>
            </w:r>
          </w:p>
        </w:tc>
        <w:tc>
          <w:tcPr>
            <w:tcW w:type="dxa" w:w="96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7.375%</w:t>
            </w:r>
          </w:p>
        </w:tc>
        <w:tc>
          <w:tcPr>
            <w:tcW w:type="dxa" w:w="1304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306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⚠ Perpetual; annual report mentions inaugural EUR 150m AT1 in 2025 - link to this ISIN not confirmed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Key ratios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62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Metric</w:t>
            </w:r>
          </w:p>
        </w:tc>
        <w:tc>
          <w:tcPr>
            <w:tcW w:type="dxa" w:w="147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47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47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1H2025</w:t>
            </w:r>
          </w:p>
        </w:tc>
        <w:tc>
          <w:tcPr>
            <w:tcW w:type="dxa" w:w="147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1H2026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profit,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202.2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157.7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91.6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72.0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interest income,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427.3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214.4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Total operating income,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544.7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271.7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Cost/income ratio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64.7%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65.5%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ROE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8.6%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7.7%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Cost of risk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0.01%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0.14%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interest margin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2.71%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2.70%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Loans to customers, EUR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11,491.4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11,903.2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Customer deposits, EUR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11,510.7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12,275.5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CET1 ratio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20.2%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19.6%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Total capital ratio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24.6%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23.7%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Leverage ratio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10.0%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9.9%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MREL (% of TREA)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35.54%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36.34%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LCR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174.6%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187.0%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NSFR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134.1%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142.3%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NPL ratio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2.0%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2.1%</w:t>
            </w:r>
          </w:p>
        </w:tc>
      </w:tr>
    </w:tbl>
    <w:p>
      <w:r>
        <w:rPr>
          <w:i/>
          <w:color w:val="5F6B7A"/>
          <w:sz w:val="16"/>
        </w:rPr>
        <w:t>* – verify in the original;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uminor_e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Business performance review</w:t>
      </w:r>
    </w:p>
    <w:p>
      <w:pPr>
        <w:pStyle w:val="ListBullet"/>
        <w:spacing w:after="60"/>
      </w:pPr>
      <w:r>
        <w:rPr>
          <w:b w:val="0"/>
        </w:rPr>
        <w:t>Loans to customers EUR 11,903.2m (+3.6% since YE2025), deposits EUR 12,275.5m (+6.6%; changes calculated by the tool)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Net interest income 1H EUR 214.4m; net interest margin 2.70% (2025: 2.71%)</w:t>
      </w:r>
      <w:hyperlink r:id="rId16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Cost/income 65.5% (2025:</w:t>
      </w:r>
      <w:r>
        <w:rPr>
          <w:b w:val="0"/>
        </w:rPr>
        <w:t xml:space="preserve"> 64.7%); cost of risk 0.14% (0.01%); NPL ratio 2.1% (2.0%)</w:t>
      </w:r>
      <w:hyperlink r:id="rId16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EUR 74.0m of dividends for 2025 paid in 1H 2026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Financials</w:t>
      </w:r>
    </w:p>
    <w:p>
      <w:pPr>
        <w:pStyle w:val="ListBullet"/>
        <w:spacing w:after="60"/>
      </w:pPr>
      <w:r>
        <w:rPr>
          <w:b/>
        </w:rPr>
        <w:t>FY2025 net profit EUR 157.7m (2024:</w:t>
      </w:r>
      <w:r>
        <w:rPr>
          <w:b w:val="0"/>
        </w:rPr>
        <w:t xml:space="preserve"> 202.2m, −22.0%), ROE 8.6%, CET1 20.2%, total capital 24.6%</w:t>
      </w:r>
      <w:hyperlink r:id="rId15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FY2025 figures restated in the 2Q report:</w:t>
      </w:r>
      <w:r>
        <w:rPr>
          <w:b w:val="0"/>
        </w:rPr>
        <w:t xml:space="preserve"> net interest income EUR 427.3m (annual report: 419.8m), total income EUR 544.7m (537.2m)</w:t>
      </w:r>
      <w:hyperlink r:id="rId16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Past plans vs outcomes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3324"/>
        <w:gridCol w:w="3324"/>
        <w:gridCol w:w="3324"/>
      </w:tblGrid>
      <w:tr>
        <w:tc>
          <w:tcPr>
            <w:tcW w:type="dxa" w:w="3969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 / target</w:t>
            </w:r>
          </w:p>
        </w:tc>
        <w:tc>
          <w:tcPr>
            <w:tcW w:type="dxa" w:w="4082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Outcome</w:t>
            </w:r>
          </w:p>
        </w:tc>
        <w:tc>
          <w:tcPr>
            <w:tcW w:type="dxa" w:w="1587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Issue senior non-preferred bonds while keeping the current A2 rating (2025 annual report)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EUR 500m SNP issued in 1H 2026; Moody's affirmed the rating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1587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3969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Reduce CET1 capital by EUR 200.0m (approval received 2026-07)</w:t>
            </w:r>
          </w:p>
        </w:tc>
        <w:tc>
          <w:tcPr>
            <w:tcW w:type="dxa" w:w="4082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Planned for Q4 2026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587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Owners: Blackstone-led consortium (80.05%) and DNB (19.95%) (2025 annual report)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Sale to OTP Bank (100%) announced 2026-07-20, approvals pending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587"/>
            <w:shd w:val="clear" w:color="auto" w:fill="FDF1D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Revised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Investor information &amp; conclusions</w:t>
      </w:r>
    </w:p>
    <w:p>
      <w:pPr>
        <w:pStyle w:val="ListBullet"/>
        <w:spacing w:after="60"/>
      </w:pPr>
      <w:r>
        <w:rPr>
          <w:b/>
        </w:rPr>
        <w:t>Instruments held:</w:t>
      </w:r>
      <w:r>
        <w:rPr>
          <w:b w:val="0"/>
        </w:rPr>
        <w:t xml:space="preserve"> three dated bonds (7.75% 2027, 4.042% 2028, 3.551% 2029) and a perpetual 7.375% bond. Ranking (senior / SNP / AT1), amounts and call dates are not on the issuer's list - check the Final Terms</w:t>
      </w:r>
      <w:hyperlink r:id="rId21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For bondholders:</w:t>
      </w:r>
      <w:r>
        <w:rPr>
          <w:b w:val="0"/>
        </w:rPr>
        <w:t xml:space="preserve"> capital and MREL buffers are well above requirements and liquidity has increased. The EUR 200m CET1 reduction will lower the buffer; the bank does not state the impact on the CET1 ratio in the sources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OTP deal:</w:t>
      </w:r>
      <w:r>
        <w:rPr>
          <w:b w:val="0"/>
        </w:rPr>
        <w:t xml:space="preserve"> check bond terms for change of control and the effect of the new owner's rating. XS3079969104 - the issuer list shows maturity 2028-06-12 but 2029 in the name (possibly a 2028 call)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21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Conclusion:</w:t>
      </w:r>
      <w:r>
        <w:rPr>
          <w:b w:val="0"/>
        </w:rPr>
        <w:t xml:space="preserve"> profitability is declining (1H profit −21%), but capital, MREL and liquidity have large buffers. The key event for holders is the change of owner to OTP. Watch: 3Q report, OTP deal approvals, the Q4 capital reduction.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is not involved in excluded sectors: controversial and nuclear weapons, tobacco, gambling and restricted sectors in fossil fuel</w:t>
      </w:r>
    </w:p>
    <w:p>
      <w:pPr>
        <w:ind w:left="397"/>
      </w:pPr>
      <w:r>
        <w:rPr>
          <w:b/>
          <w:color w:val="333333"/>
          <w:sz w:val="19"/>
        </w:rPr>
        <w:t xml:space="preserve">Evidence: </w:t>
      </w:r>
      <w:r>
        <w:rPr>
          <w:b/>
          <w:color w:val="333333"/>
          <w:sz w:val="19"/>
        </w:rPr>
        <w:t xml:space="preserve">Needs review. </w:t>
      </w:r>
      <w:r>
        <w:rPr>
          <w:b w:val="0"/>
          <w:color w:val="333333"/>
          <w:sz w:val="19"/>
        </w:rPr>
        <w:t>The bank itself is not active in these sectors. No information on lending restrictions to them found automatically (Luminor sustainability pages not readable) - check the 2025 annual report</w:t>
      </w:r>
      <w:hyperlink r:id="rId19">
        <w:r>
          <w:rPr>
            <w:color w:val="2A78D6"/>
            <w:vertAlign w:val="superscript"/>
            <w:sz w:val="16"/>
          </w:rPr>
          <w:t xml:space="preserve">12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ind w:left="397"/>
      </w:pPr>
      <w:r>
        <w:rPr>
          <w:b/>
          <w:color w:val="333333"/>
          <w:sz w:val="19"/>
        </w:rPr>
        <w:t xml:space="preserve">Evidence: </w:t>
      </w:r>
      <w:r>
        <w:rPr>
          <w:b/>
          <w:color w:val="333333"/>
          <w:sz w:val="19"/>
        </w:rPr>
        <w:t xml:space="preserve">Needs review. </w:t>
      </w:r>
      <w:r>
        <w:rPr>
          <w:b w:val="0"/>
          <w:color w:val="333333"/>
          <w:sz w:val="19"/>
        </w:rPr>
        <w:t>No 2026 red flags found in a quick search (2026-10-22). Recommended to check AML history.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is not in the list of sanctions (add a screenshot)</w:t>
      </w:r>
    </w:p>
    <w:p>
      <w:pPr>
        <w:ind w:left="397"/>
      </w:pPr>
      <w:r>
        <w:rPr>
          <w:b/>
          <w:color w:val="333333"/>
          <w:sz w:val="19"/>
        </w:rPr>
        <w:t xml:space="preserve">Evidence: </w:t>
      </w:r>
      <w:r>
        <w:rPr>
          <w:b/>
          <w:color w:val="333333"/>
          <w:sz w:val="19"/>
        </w:rPr>
        <w:t xml:space="preserve">Needs review. </w:t>
      </w:r>
      <w:r>
        <w:rPr>
          <w:b w:val="0"/>
          <w:color w:val="333333"/>
          <w:sz w:val="19"/>
        </w:rPr>
        <w:t>Checked by the analyst with internal tools (add a screenshot). Note: new owner OTP Bank (Hungary)</w:t>
      </w:r>
      <w:hyperlink r:id="rId14">
        <w:r>
          <w:rPr>
            <w:color w:val="2A78D6"/>
            <w:vertAlign w:val="superscript"/>
            <w:sz w:val="16"/>
          </w:rPr>
          <w:t xml:space="preserve">14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issues were not identified from adverse media checks (add a screenshot)</w:t>
      </w:r>
    </w:p>
    <w:p>
      <w:pPr>
        <w:ind w:left="397"/>
      </w:pPr>
      <w:r>
        <w:rPr>
          <w:b/>
          <w:color w:val="333333"/>
          <w:sz w:val="19"/>
        </w:rPr>
        <w:t xml:space="preserve">Evidence: </w:t>
      </w:r>
      <w:r>
        <w:rPr>
          <w:b/>
          <w:color w:val="333333"/>
          <w:sz w:val="19"/>
        </w:rPr>
        <w:t xml:space="preserve">Needs review. </w:t>
      </w:r>
      <w:r>
        <w:rPr>
          <w:b w:val="0"/>
          <w:color w:val="333333"/>
          <w:sz w:val="19"/>
        </w:rPr>
        <w:t>The automatic news scan (30 days) found no adverse headlines; most news is about the OTP deal. Analyst confirms and adds a screenshot.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ind w:left="397"/>
      </w:pPr>
      <w:r>
        <w:rPr>
          <w:b/>
          <w:color w:val="333333"/>
          <w:sz w:val="19"/>
        </w:rPr>
        <w:t xml:space="preserve">Evidence: </w:t>
      </w:r>
      <w:r>
        <w:rPr>
          <w:b w:val="0"/>
          <w:color w:val="333333"/>
          <w:sz w:val="19"/>
        </w:rPr>
        <w:t>Sustainable real estate and renewable energy lending EUR 305.4m in 2025 (EUR 182.4m in 2024), target EUR 700m by 2030; green or sustainability-linked bonds 7.4% of the bond portfolio; Sustainalytics ESG risk rating 18.4 (low risk)</w:t>
      </w:r>
      <w:hyperlink r:id="rId22">
        <w:r>
          <w:rPr>
            <w:color w:val="2A78D6"/>
            <w:vertAlign w:val="superscript"/>
            <w:sz w:val="16"/>
          </w:rPr>
          <w:t xml:space="preserve">16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activities of the company or it’s strategy is aligned with the taxonomy and/or Paris agreement targets (e.g. net zero commitment)</w:t>
      </w:r>
    </w:p>
    <w:p>
      <w:pPr>
        <w:ind w:left="397"/>
      </w:pPr>
      <w:r>
        <w:rPr>
          <w:b/>
          <w:color w:val="333333"/>
          <w:sz w:val="19"/>
        </w:rPr>
        <w:t xml:space="preserve">Evidence: </w:t>
      </w:r>
      <w:r>
        <w:rPr>
          <w:b/>
          <w:color w:val="333333"/>
          <w:sz w:val="19"/>
        </w:rPr>
        <w:t xml:space="preserve">Needs review. </w:t>
      </w:r>
      <w:r>
        <w:rPr>
          <w:b w:val="0"/>
          <w:color w:val="333333"/>
          <w:sz w:val="19"/>
        </w:rPr>
        <w:t>No financed-emissions targets, net zero or NZBA commitment found automatically.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does not have yellow flag/signal related to controversies based on UN Global Compact or any other relevant principles/standards</w:t>
      </w:r>
    </w:p>
    <w:p>
      <w:pPr>
        <w:ind w:left="397"/>
      </w:pPr>
      <w:r>
        <w:rPr>
          <w:b/>
          <w:color w:val="333333"/>
          <w:sz w:val="19"/>
        </w:rPr>
        <w:t xml:space="preserve">Evidence: </w:t>
      </w:r>
      <w:r>
        <w:rPr>
          <w:b/>
          <w:color w:val="333333"/>
          <w:sz w:val="19"/>
        </w:rPr>
        <w:t xml:space="preserve">Needs review. </w:t>
      </w:r>
      <w:r>
        <w:rPr>
          <w:b w:val="0"/>
          <w:color w:val="333333"/>
          <w:sz w:val="19"/>
        </w:rPr>
        <w:t>No yellow flags found in a quick search; the change of owner (OTP) may change ESG policies</w:t>
      </w:r>
      <w:hyperlink r:id="rId14">
        <w:r>
          <w:rPr>
            <w:color w:val="2A78D6"/>
            <w:vertAlign w:val="superscript"/>
            <w:sz w:val="16"/>
          </w:rPr>
          <w:t xml:space="preserve">14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ind w:left="397"/>
      </w:pPr>
      <w:r>
        <w:rPr>
          <w:b/>
          <w:color w:val="333333"/>
          <w:sz w:val="19"/>
        </w:rPr>
        <w:t xml:space="preserve">Evidence: </w:t>
      </w:r>
      <w:r>
        <w:rPr>
          <w:b/>
          <w:color w:val="333333"/>
          <w:sz w:val="19"/>
        </w:rPr>
        <w:t>Applicable:</w:t>
      </w:r>
      <w:r>
        <w:rPr>
          <w:b w:val="0"/>
          <w:color w:val="333333"/>
          <w:sz w:val="19"/>
        </w:rPr>
        <w:t xml:space="preserve"> no SEB sector policy for banks, so the Investments policy and the Environmental and Social &amp; Human Rights policies apply</w:t>
      </w:r>
      <w:hyperlink r:id="rId23">
        <w:r>
          <w:rPr>
            <w:color w:val="2A78D6"/>
            <w:vertAlign w:val="superscript"/>
            <w:sz w:val="16"/>
          </w:rPr>
          <w:t xml:space="preserve">17</w:t>
        </w:r>
      </w:hyperlink>
      <w:r>
        <w:rPr>
          <w:b w:val="0"/>
          <w:color w:val="333333"/>
          <w:sz w:val="19"/>
        </w:rPr>
        <w:t xml:space="preserve">. </w:t>
      </w:r>
      <w:r>
        <w:rPr>
          <w:b/>
          <w:color w:val="333333"/>
          <w:sz w:val="19"/>
        </w:rPr>
        <w:t>Met:</w:t>
      </w:r>
      <w:r>
        <w:rPr>
          <w:b w:val="0"/>
          <w:color w:val="333333"/>
          <w:sz w:val="19"/>
        </w:rPr>
        <w:t xml:space="preserve"> no breach of governance or international norms found (quick search, 2026-10-22); financed emissions disclosed using PCAF (Scope 3 3.2m t CO2e in 2025)</w:t>
      </w:r>
      <w:hyperlink r:id="rId24">
        <w:r>
          <w:rPr>
            <w:color w:val="2A78D6"/>
            <w:vertAlign w:val="superscript"/>
            <w:sz w:val="16"/>
          </w:rPr>
          <w:t xml:space="preserve">18</w:t>
        </w:r>
      </w:hyperlink>
      <w:r>
        <w:rPr>
          <w:b w:val="0"/>
          <w:color w:val="333333"/>
          <w:sz w:val="19"/>
        </w:rPr>
        <w:t>; climate neutrality target for 2050</w:t>
      </w:r>
      <w:hyperlink r:id="rId22">
        <w:r>
          <w:rPr>
            <w:color w:val="2A78D6"/>
            <w:vertAlign w:val="superscript"/>
            <w:sz w:val="16"/>
          </w:rPr>
          <w:t xml:space="preserve">16</w:t>
        </w:r>
      </w:hyperlink>
      <w:r>
        <w:rPr>
          <w:b w:val="0"/>
          <w:color w:val="333333"/>
          <w:sz w:val="19"/>
        </w:rPr>
        <w:t>; sustainable real estate and renewable lending EUR 305.4m, target EUR 700m by 2030</w:t>
      </w:r>
      <w:hyperlink r:id="rId22">
        <w:r>
          <w:rPr>
            <w:color w:val="2A78D6"/>
            <w:vertAlign w:val="superscript"/>
            <w:sz w:val="16"/>
          </w:rPr>
          <w:t xml:space="preserve">16</w:t>
        </w:r>
      </w:hyperlink>
      <w:r>
        <w:rPr>
          <w:b w:val="0"/>
          <w:color w:val="333333"/>
          <w:sz w:val="19"/>
        </w:rPr>
        <w:t>; Sustainalytics ESG risk rating 18.4 (low risk)</w:t>
      </w:r>
      <w:hyperlink r:id="rId22">
        <w:r>
          <w:rPr>
            <w:color w:val="2A78D6"/>
            <w:vertAlign w:val="superscript"/>
            <w:sz w:val="16"/>
          </w:rPr>
          <w:t xml:space="preserve">16</w:t>
        </w:r>
      </w:hyperlink>
      <w:r>
        <w:rPr>
          <w:b w:val="0"/>
          <w:color w:val="333333"/>
          <w:sz w:val="19"/>
        </w:rPr>
        <w:t>; human rights commitment</w:t>
      </w:r>
      <w:hyperlink r:id="rId25">
        <w:r>
          <w:rPr>
            <w:color w:val="2A78D6"/>
            <w:vertAlign w:val="superscript"/>
            <w:sz w:val="16"/>
          </w:rPr>
          <w:t xml:space="preserve">19</w:t>
        </w:r>
      </w:hyperlink>
      <w:r>
        <w:rPr>
          <w:b w:val="0"/>
          <w:color w:val="333333"/>
          <w:sz w:val="19"/>
        </w:rPr>
        <w:t>; AML and sanctions compliance</w:t>
      </w:r>
      <w:hyperlink r:id="rId25">
        <w:r>
          <w:rPr>
            <w:color w:val="2A78D6"/>
            <w:vertAlign w:val="superscript"/>
            <w:sz w:val="16"/>
          </w:rPr>
          <w:t xml:space="preserve">19</w:t>
        </w:r>
      </w:hyperlink>
      <w:r>
        <w:rPr>
          <w:b w:val="0"/>
          <w:color w:val="333333"/>
          <w:sz w:val="19"/>
        </w:rPr>
        <w:t>; anti-bribery measures and whistleblowing channels (from summary, verify)</w:t>
      </w:r>
      <w:hyperlink r:id="rId26">
        <w:r>
          <w:rPr>
            <w:color w:val="2A78D6"/>
            <w:vertAlign w:val="superscript"/>
            <w:sz w:val="16"/>
          </w:rPr>
          <w:t xml:space="preserve">20</w:t>
        </w:r>
      </w:hyperlink>
      <w:r>
        <w:rPr>
          <w:b w:val="0"/>
          <w:color w:val="333333"/>
          <w:sz w:val="19"/>
        </w:rPr>
        <w:t xml:space="preserve">. </w:t>
      </w:r>
      <w:r>
        <w:rPr>
          <w:b/>
          <w:color w:val="333333"/>
          <w:sz w:val="19"/>
        </w:rPr>
        <w:t>Not found:</w:t>
      </w:r>
      <w:r>
        <w:rPr>
          <w:b w:val="0"/>
          <w:color w:val="333333"/>
          <w:sz w:val="19"/>
        </w:rPr>
        <w:t xml:space="preserve"> a published lending exclusion list (coal, oil &amp; gas, weapons) and UN Global Compact / UNEP FI PRB membership; check Luminor's sustainability policy and transition plan principles.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ind w:left="397"/>
      </w:pPr>
      <w:r>
        <w:rPr>
          <w:b/>
          <w:color w:val="333333"/>
          <w:sz w:val="19"/>
        </w:rPr>
        <w:t xml:space="preserve">Evidence: </w:t>
      </w:r>
      <w:r>
        <w:rPr>
          <w:b/>
          <w:color w:val="333333"/>
          <w:sz w:val="19"/>
        </w:rPr>
        <w:t xml:space="preserve">Needs review. </w:t>
      </w:r>
      <w:r>
        <w:rPr>
          <w:b w:val="0"/>
          <w:color w:val="333333"/>
          <w:sz w:val="19"/>
        </w:rPr>
        <w:t>Suggested topics: financed-emissions disclosure, fossil fuel lending policy, ESG policies after the OTP acquisition.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indicators of the company support the targets of sustainability and PAI indicators followed by the Fund</w:t>
      </w:r>
    </w:p>
    <w:p>
      <w:pPr>
        <w:ind w:left="397"/>
      </w:pPr>
      <w:r>
        <w:rPr>
          <w:b/>
          <w:color w:val="333333"/>
          <w:sz w:val="19"/>
        </w:rPr>
        <w:t xml:space="preserve">Evidence: </w:t>
      </w:r>
      <w:r>
        <w:rPr>
          <w:b/>
          <w:color w:val="333333"/>
          <w:sz w:val="19"/>
        </w:rPr>
        <w:t xml:space="preserve">Needs review. </w:t>
      </w:r>
      <w:r>
        <w:rPr>
          <w:b w:val="0"/>
          <w:color w:val="333333"/>
          <w:sz w:val="19"/>
        </w:rPr>
        <w:t>PAI indicators (financed emissions, board gender diversity, etc.) not found automatically - check the 2025 annual report</w:t>
      </w:r>
      <w:hyperlink r:id="rId19">
        <w:r>
          <w:rPr>
            <w:color w:val="2A78D6"/>
            <w:vertAlign w:val="superscript"/>
            <w:sz w:val="16"/>
          </w:rPr>
          <w:t xml:space="preserve">12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Too little ESG evidence found automatically; most items need manual review based on the 2025 annual report. Watch ESG policies after the OTP acquisition.</w:t>
      </w:r>
    </w:p>
    <w:p>
      <w:r>
        <w:rPr>
          <w:i/>
          <w:color w:val="5F6B7A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Sources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Luminor Bank - Interim report 2Q 2026, p. 15,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Luminor Bank - Annual report 2025, p. 9,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2">
        <w:r>
          <w:rPr>
            <w:color w:val="2A78D6"/>
            <w:sz w:val="17"/>
          </w:rPr>
          <w:t xml:space="preserve">Luminor Bank - Interim report 2Q 2026, p. 5, 16,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3">
        <w:r>
          <w:rPr>
            <w:color w:val="2A78D6"/>
            <w:sz w:val="17"/>
          </w:rPr>
          <w:t xml:space="preserve">Luminor Bank - Interim report 2Q 2026,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4">
        <w:r>
          <w:rPr>
            <w:color w:val="2A78D6"/>
            <w:sz w:val="17"/>
          </w:rPr>
          <w:t xml:space="preserve">Luminor Bank - Interim report 2Q 2026, p. 4, 15,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4">
        <w:r>
          <w:rPr>
            <w:color w:val="2A78D6"/>
            <w:sz w:val="17"/>
          </w:rPr>
          <w:t xml:space="preserve">Luminor Bank - Interim report 2Q 2026, p. 4, 8,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5">
        <w:r>
          <w:rPr>
            <w:color w:val="2A78D6"/>
            <w:sz w:val="17"/>
          </w:rPr>
          <w:t xml:space="preserve">Luminor Bank - Annual report 2025, p. 7,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2">
        <w:r>
          <w:rPr>
            <w:color w:val="2A78D6"/>
            <w:sz w:val="17"/>
          </w:rPr>
          <w:t xml:space="preserve">Luminor Bank - Interim report 2Q 2026, p. 5,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6">
        <w:r>
          <w:rPr>
            <w:color w:val="2A78D6"/>
            <w:sz w:val="17"/>
          </w:rPr>
          <w:t xml:space="preserve">Luminor Bank - Interim report 2Q 2026, p. 16,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7">
        <w:r>
          <w:rPr>
            <w:color w:val="2A78D6"/>
            <w:sz w:val="17"/>
          </w:rPr>
          <w:t xml:space="preserve">Luminor Bank - Annual report 2025, p. 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15">
        <w:r>
          <w:rPr>
            <w:color w:val="2A78D6"/>
            <w:sz w:val="17"/>
          </w:rPr>
          <w:t xml:space="preserve">Luminor Bank - Annual report 2025, p. 7-8,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19">
        <w:r>
          <w:rPr>
            <w:color w:val="2A78D6"/>
            <w:sz w:val="17"/>
          </w:rPr>
          <w:t xml:space="preserve">Luminor Bank - Annual report 2025,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20">
        <w:r>
          <w:rPr>
            <w:color w:val="2A78D6"/>
            <w:sz w:val="17"/>
          </w:rPr>
          <w:t xml:space="preserve">Luminor Bank - Annual report 2025, p. 5,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14">
        <w:r>
          <w:rPr>
            <w:color w:val="2A78D6"/>
            <w:sz w:val="17"/>
          </w:rPr>
          <w:t xml:space="preserve">Luminor Bank - Interim report 2Q 2026, p. 4,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21">
        <w:r>
          <w:rPr>
            <w:color w:val="2A78D6"/>
            <w:sz w:val="17"/>
          </w:rPr>
          <w:t xml:space="preserve">Luminor - Primary placements (bond list), 2026-09-28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22">
        <w:r>
          <w:rPr>
            <w:color w:val="2A78D6"/>
            <w:sz w:val="17"/>
          </w:rPr>
          <w:t xml:space="preserve">Luminor Bank - Annual report 2025, p. 19,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23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18. </w:t>
      </w:r>
      <w:hyperlink r:id="rId24">
        <w:r>
          <w:rPr>
            <w:color w:val="2A78D6"/>
            <w:sz w:val="17"/>
          </w:rPr>
          <w:t xml:space="preserve">Luminor Bank - Annual report 2025, p. 22,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19. </w:t>
      </w:r>
      <w:hyperlink r:id="rId25">
        <w:r>
          <w:rPr>
            <w:color w:val="2A78D6"/>
            <w:sz w:val="17"/>
          </w:rPr>
          <w:t xml:space="preserve">Luminor Bank - Annual report 2025, p. 18,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20. </w:t>
      </w:r>
      <w:hyperlink r:id="rId26">
        <w:r>
          <w:rPr>
            <w:color w:val="2A78D6"/>
            <w:sz w:val="17"/>
          </w:rPr>
          <w:t xml:space="preserve">Luminor Bank - Annual report 2025, p. 23, 28, 2026</w:t>
        </w:r>
      </w:hyperlink>
    </w:p>
    <w:p>
      <w:r>
        <w:rPr>
          <w:i/>
          <w:color w:val="5F6B7A"/>
          <w:sz w:val="16"/>
        </w:rPr>
        <w:t>Report prepared automatically from public sources. Figures are as published by the issuer; references [S#] point to the source list. Items marked for review must be checked by the analyst before use.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Luminor Bank · 1H2026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luminor.lv/sites/default/files/docs/finansu_parskati/luminor_bank_interim_report_2q26.pdf#page=15" TargetMode="External"/><Relationship Id="rId11" Type="http://schemas.openxmlformats.org/officeDocument/2006/relationships/hyperlink" Target="https://luminor.lv/sites/default/files/docs/finansu_parskati/luminor_bank_annual_report_2025-lv.pdf#page=9" TargetMode="External"/><Relationship Id="rId12" Type="http://schemas.openxmlformats.org/officeDocument/2006/relationships/hyperlink" Target="https://luminor.lv/sites/default/files/docs/finansu_parskati/luminor_bank_interim_report_2q26.pdf#page=5" TargetMode="External"/><Relationship Id="rId13" Type="http://schemas.openxmlformats.org/officeDocument/2006/relationships/hyperlink" Target="https://luminor.lv/sites/default/files/docs/finansu_parskati/luminor_bank_interim_report_2q26.pdf" TargetMode="External"/><Relationship Id="rId14" Type="http://schemas.openxmlformats.org/officeDocument/2006/relationships/hyperlink" Target="https://luminor.lv/sites/default/files/docs/finansu_parskati/luminor_bank_interim_report_2q26.pdf#page=4" TargetMode="External"/><Relationship Id="rId15" Type="http://schemas.openxmlformats.org/officeDocument/2006/relationships/hyperlink" Target="https://luminor.lv/sites/default/files/docs/finansu_parskati/luminor_bank_annual_report_2025-lv.pdf#page=7" TargetMode="External"/><Relationship Id="rId16" Type="http://schemas.openxmlformats.org/officeDocument/2006/relationships/hyperlink" Target="https://luminor.lv/sites/default/files/docs/finansu_parskati/luminor_bank_interim_report_2q26.pdf#page=16" TargetMode="External"/><Relationship Id="rId17" Type="http://schemas.openxmlformats.org/officeDocument/2006/relationships/hyperlink" Target="https://luminor.lv/sites/default/files/docs/finansu_parskati/luminor_bank_annual_report_2025-lv.pdf#page=8" TargetMode="External"/><Relationship Id="rId18" Type="http://schemas.openxmlformats.org/officeDocument/2006/relationships/image" Target="media/image1.png"/><Relationship Id="rId19" Type="http://schemas.openxmlformats.org/officeDocument/2006/relationships/hyperlink" Target="https://luminor.lv/sites/default/files/docs/finansu_parskati/luminor_bank_annual_report_2025-lv.pdf" TargetMode="External"/><Relationship Id="rId20" Type="http://schemas.openxmlformats.org/officeDocument/2006/relationships/hyperlink" Target="https://luminor.lv/sites/default/files/docs/finansu_parskati/luminor_bank_annual_report_2025-lv.pdf#page=5" TargetMode="External"/><Relationship Id="rId21" Type="http://schemas.openxmlformats.org/officeDocument/2006/relationships/hyperlink" Target="https://luminor.lv/en/placements" TargetMode="External"/><Relationship Id="rId22" Type="http://schemas.openxmlformats.org/officeDocument/2006/relationships/hyperlink" Target="https://luminor.lv/sites/default/files/docs/finansu_parskati/luminor_bank_annual_report_2025-lv.pdf#page=19" TargetMode="External"/><Relationship Id="rId23" Type="http://schemas.openxmlformats.org/officeDocument/2006/relationships/hyperlink" Target="https://sebgroup.com/sustainability/our-sustainability-strategy/policies" TargetMode="External"/><Relationship Id="rId24" Type="http://schemas.openxmlformats.org/officeDocument/2006/relationships/hyperlink" Target="https://luminor.lv/sites/default/files/docs/finansu_parskati/luminor_bank_annual_report_2025-lv.pdf#page=22" TargetMode="External"/><Relationship Id="rId25" Type="http://schemas.openxmlformats.org/officeDocument/2006/relationships/hyperlink" Target="https://luminor.lv/sites/default/files/docs/finansu_parskati/luminor_bank_annual_report_2025-lv.pdf#page=18" TargetMode="External"/><Relationship Id="rId26" Type="http://schemas.openxmlformats.org/officeDocument/2006/relationships/hyperlink" Target="https://luminor.lv/sites/default/files/docs/finansu_parskati/luminor_bank_annual_report_2025-lv.pdf#page=2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