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0,6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12,4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 w:val="0"/>
        </w:rPr>
        <w:t>1H 2026 grynasis pelnas 72,0 mln. EUR (1H 2025 – 91,6 mln.), II ketv. – 37,4 mln. EUR (46,2 mln.); ROE 7,7 %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aukšti:</w:t>
      </w:r>
      <w:r>
        <w:rPr>
          <w:b w:val="0"/>
        </w:rPr>
        <w:t xml:space="preserve"> CET1 19,6 %, bendras kapitalas 23,7 %, MREL 36,34 % TREA (reikalavimas 23,69 % + buferiai), LCR 187,0 %, NSFR 142,3 %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Savininko keitimas:</w:t>
      </w:r>
      <w:r>
        <w:rPr>
          <w:b w:val="0"/>
        </w:rPr>
        <w:t xml:space="preserve"> 2026-07-20 paskelbta, kad OTP Bank įsigis 100 % Luminor Holding akcijų iš Blackstone konsorciumo ir DNB; reikia priežiūros institucijų leidimų. Po pranešimo Moody's patvirtino reitingą ir perspektyvą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Priežiūros institucija (ECB, 2026-07-17) leido sumažinti CET1 kapitalą 200,0 mln. EUR; tikimasi IV ketv.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Finansavimas:</w:t>
      </w:r>
      <w:r>
        <w:rPr>
          <w:b w:val="0"/>
        </w:rPr>
        <w:t xml:space="preserve"> 1H 2026 išpirkta 300 mln. EUR pirmaeilė obligacija (MS+4,471 %) ir išleista pirmoji 500 mln. EUR senior non-preferred obligacija (MS+1,28 %)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7,750 %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65,5 %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19,6 %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23,7 %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9,9 %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187,0 %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142,3 %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2,1 %</w:t>
            </w:r>
          </w:p>
        </w:tc>
      </w:tr>
    </w:tbl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trys terminuotos obligacijos (7,75 % 2027, 4,042 % 2028, 3,551 % 2029) ir neterminuota 7,375 % obligacija. Rangas (senior / SNP / AT1), sumos ir pirkimo datos emitento sąraše nenurodyti – patikrinti galutines sąlygas (Final Terms)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patikrinti obligacijų sąlygas dėl kontrolės pasikeitimo ir naujo savininko reitingo poveikį. XS3079969104 – emitento sąraše išpirkimas nurodytas 2028-06-12, pavadinime – 2029 (galimai pirkimo opcionas 2028)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Bankas pats šiuose sektoriuose neveikia. Informacijos apie skolinimo šiems sektoriams apribojimus automatiškai nerasta (luminor tvarumo puslapiai nenuskaitomi)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2026 m. raudonų signalų greitoje paieškoje nerasta (2026-10-22). Rekomenduojama patikrinti pinigų plovimo prevencijos istoriją.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Tikrina analitikas vidinėmis priemonėmis (pridėti ekrano nuotrauką). Pastaba: naujas savininkas – OTP Bank (Vengrija)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Automatinė naujienų paieška (30 d.) neigiamų antraščių nerado; daugiausia naujienų apie OTP sandorį. Analitikas patvirtina ir prideda ekrano nuotrauką.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 w:val="0"/>
          <w:color w:val="333333"/>
          <w:sz w:val="19"/>
        </w:rPr>
        <w:t>Tvaraus NT ir atsinaujinančios energetikos paskolos 2025 m. – 305,4 mln. EUR (2024 m. – 182,4 mln.), tikslas – 700 mln. EUR iki 2030 m.; žalios ar su tvarumu susietos obligacijos sudaro 7,4 % obligacijų portfelio; Sustainalytics ESG rizikos reitingas 18,4 (maža rizika)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Finansuojamų emisijų tikslų, nulinės emisijos ar NZBA įsipareigojimo automatiškai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Geltonų signalų greitoje paieškoje nerasta; savininko keitimas (OTP) gali pakeisti ESG politikas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>Taikoma:</w:t>
      </w:r>
      <w:r>
        <w:rPr>
          <w:b w:val="0"/>
          <w:color w:val="333333"/>
          <w:sz w:val="19"/>
        </w:rPr>
        <w:t xml:space="preserve"> SEB neturi bankų sektoriaus politikos, todėl taikoma investicijų politika bei aplinkosaugos ir socialinė / žmogaus teisių politikos</w:t>
      </w:r>
      <w:hyperlink r:id="rId23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Atitinka:</w:t>
      </w:r>
      <w:r>
        <w:rPr>
          <w:b w:val="0"/>
          <w:color w:val="333333"/>
          <w:sz w:val="19"/>
        </w:rPr>
        <w:t xml:space="preserve"> valdymo ar tarptautinių normų pažeidimų nerasta (greita paieška 2026-10-22); finansuojamos emisijos atskleidžiamos pagal PCAF (3 apimtis – 3,2 mln. t CO2e 2025 m.)</w:t>
      </w:r>
      <w:hyperlink r:id="rId2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; tikslas – klimato neutralumas iki 2050 m.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; tvaraus NT ir atsinaujinančios energetikos paskolos 305,4 mln. EUR, tikslas – 700 mln. EUR iki 2030 m.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; Sustainalytics ESG rizikos reitingas 18,4 (maža rizika)</w:t>
      </w:r>
      <w:hyperlink r:id="rId22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; įsipareigojimas gerbti žmogaus teises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; PPTFP ir sankcijų atitiktis</w:t>
      </w:r>
      <w:hyperlink r:id="rId25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; antikorupcijos priemonės ir pranešėjų kanalai (iš santraukos, patikrinti)</w:t>
      </w:r>
      <w:hyperlink r:id="rId26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 xml:space="preserve">. </w:t>
      </w:r>
      <w:r>
        <w:rPr>
          <w:b/>
          <w:color w:val="333333"/>
          <w:sz w:val="19"/>
        </w:rPr>
        <w:t>Nerasta:</w:t>
      </w:r>
      <w:r>
        <w:rPr>
          <w:b w:val="0"/>
          <w:color w:val="333333"/>
          <w:sz w:val="19"/>
        </w:rPr>
        <w:t xml:space="preserve"> viešo skolinimo išimčių sąrašo (anglis, nafta ir dujos, ginklai) ir narystės JT Pasauliniame susitarime / UNEP FI PRB; patikrinti Luminor tvarumo politiką ir pereinamojo laikotarpio plano principus.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Siūlomi klausimai: finansuojamų emisijų atskleidimas, iškastinio kuro skolinimo politika, ESG politikos po OTP įsigijimo.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Įrodymas: </w:t>
      </w:r>
      <w:r>
        <w:rPr>
          <w:b/>
          <w:color w:val="333333"/>
          <w:sz w:val="19"/>
        </w:rPr>
        <w:t xml:space="preserve">Reikia peržiūrėti. </w:t>
      </w:r>
      <w:r>
        <w:rPr>
          <w:b w:val="0"/>
          <w:color w:val="333333"/>
          <w:sz w:val="19"/>
        </w:rPr>
        <w:t>PAI rodiklių (finansuojamos emisijos, valdybos lyčių įvairovė ir kt.) automatiškai nerasta – patikrinti 2025 m. metinėje ataskaitoje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Automatiškai rasta per mažai ESG įrodymų; dauguma punktų – rankinei peržiūrai pagal 2025 m. metinę ataskaitą. Stebėti ESG politikas po OTP įsigijimo.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Relationship Id="rId22" Type="http://schemas.openxmlformats.org/officeDocument/2006/relationships/hyperlink" Target="https://luminor.lv/sites/default/files/docs/finansu_parskati/luminor_bank_annual_report_2025-lv.pdf#page=19" TargetMode="External"/><Relationship Id="rId23" Type="http://schemas.openxmlformats.org/officeDocument/2006/relationships/hyperlink" Target="https://sebgroup.com/sustainability/our-sustainability-strategy/policies" TargetMode="External"/><Relationship Id="rId24" Type="http://schemas.openxmlformats.org/officeDocument/2006/relationships/hyperlink" Target="https://luminor.lv/sites/default/files/docs/finansu_parskati/luminor_bank_annual_report_2025-lv.pdf#page=22" TargetMode="External"/><Relationship Id="rId25" Type="http://schemas.openxmlformats.org/officeDocument/2006/relationships/hyperlink" Target="https://luminor.lv/sites/default/files/docs/finansu_parskati/luminor_bank_annual_report_2025-lv.pdf#page=18" TargetMode="External"/><Relationship Id="rId26" Type="http://schemas.openxmlformats.org/officeDocument/2006/relationships/hyperlink" Target="https://luminor.lv/sites/default/files/docs/finansu_parskati/luminor_bank_annual_report_2025-lv.pdf#page=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