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Credit rating not found in public sources reviewed - check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results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59.3 EUR m</w:t>
            </w:r>
          </w:p>
          <w:p>
            <w:r>
              <w:rPr>
                <w:color w:val="5F6B7A"/>
                <w:sz w:val="16"/>
              </w:rPr>
              <w:t>▲ 2.4 %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25.8 EUR m</w:t>
            </w:r>
          </w:p>
          <w:p>
            <w:r>
              <w:rPr>
                <w:color w:val="5F6B7A"/>
                <w:sz w:val="16"/>
              </w:rPr>
              <w:t>▼ 13.4 %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6.0 EUR m</w:t>
            </w:r>
          </w:p>
          <w:p>
            <w:r>
              <w:rPr>
                <w:color w:val="5F6B7A"/>
                <w:sz w:val="16"/>
              </w:rPr>
              <w:t>▼ 41.7 %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2.78x</w:t>
            </w:r>
          </w:p>
          <w:p>
            <w:r>
              <w:rPr>
                <w:color w:val="5F6B7A"/>
                <w:sz w:val="16"/>
              </w:rPr>
              <w:t>▲ 0.27x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 w:val="0"/>
        </w:rPr>
        <w:t>6M revenue EUR 59.3m (+2.4%), adjusted EBITDA EUR 25.8m (−13.5%), margin 43.5% (51.5%), net profit EUR 6.0m (−41.7%)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According to the CEO, rising fuel prices and extraordinary ship repairs caused by ice conditions reduced Q2 profitability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stable:</w:t>
      </w:r>
      <w:r>
        <w:rPr>
          <w:b w:val="0"/>
        </w:rPr>
        <w:t xml:space="preserve"> net debt EUR 145.8m, net debt / LTM adjusted EBITDA 2.78x, equity ratio 59.8% (both ratios calculated by the tool)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Dividend EUR 0.073 per share, EUR 19.2m in total - 85% of 2025 profit (policy: at least 70%); paid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The Republic of Estonia holds 67.03%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Former executives' bribery case: on 2024-06-27 the court acquitted on limitation grounds; prosecution and defence appealed, later ruling not found - needs review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59.3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43.5%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Operating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6.0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145.8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2.78xᶜ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59.8%ᶜ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Cargo volume, m t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6.48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Passengers,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3.59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Cargo 6.48m t (−5.0%), mainly liquid bulk (−33.8%); passengers 3.59m (−2.0%); vessel calls −4.8%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Cruise passengers +47.8%, cruise ship calls +29.3% (6M)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Icebreaker Botnica charter 130 days (110)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6M investments EUR 3.5m (12.0m). The 2025 comparison includes a one-off EUR 0.9m gain on the land sale for the Rail Baltica station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85% of profit paid (policy ≥70%)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19,261 t CO2e (−41.8% vs 2019; calculated by the tool, verify)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- assess in the next review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Port operator, ferry services, icebreaker, real estate - no weapons, tobacco, gambling, coal or oil exploration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 Handles liquid bulk (oil products), volumes declining (−33.8% in 6M)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Former executives' bribery case (from 2015): acquitted on limitation grounds 2024-06-27, appealed by prosecution and defence; later ruling not found. The company is the injured party, not a defendant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Checked by the analyst with internal tools (add a screenshot). Controlled by the Republic of Estonia (67.03%)</w:t>
      </w:r>
      <w:hyperlink r:id="rId11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Found (EE media): the bribery case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 The automatic news scan (30 days) found no newer adverse news. Analyst confirms and adds a screenshot.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Voluntary 2025 sustainability report following CSRD/ESRS principles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target of 90% renewable energy for own use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Climate-neutral operations by 2050; Scope 1+2 −55% by 2030 (vs 2019); 2025: 19,261 t CO2e (−41.8%, calculated by the tool)</w:t>
      </w:r>
      <w:hyperlink r:id="rId17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b w:val="0"/>
          <w:color w:val="333333"/>
          <w:sz w:val="19"/>
        </w:rPr>
        <w:t>. EU Taxonomy share not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Yellow flag - the unresolved bribery case of former executives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/>
          <w:color w:val="333333"/>
          <w:sz w:val="19"/>
        </w:rPr>
        <w:t>Applicable:</w:t>
      </w:r>
      <w:r>
        <w:rPr>
          <w:b w:val="0"/>
          <w:color w:val="333333"/>
          <w:sz w:val="19"/>
        </w:rPr>
        <w:t xml:space="preserve"> the SEB Investments policy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 xml:space="preserve"> and the Shipping policy, because the ferry segment is 31.4% of 6M 2026 revenue, above the 15% threshold (calculated by the tool)</w:t>
      </w:r>
      <w:hyperlink r:id="rId11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 The Transportation policy does not apply (road, rail and air only)</w:t>
      </w:r>
      <w:hyperlink r:id="rId22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Met:</w:t>
      </w:r>
      <w:r>
        <w:rPr>
          <w:b w:val="0"/>
          <w:color w:val="333333"/>
          <w:sz w:val="19"/>
        </w:rPr>
        <w:t xml:space="preserve"> no governance or international-norm breach by the company found (it is the injured party in the former executives' case)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; annual sustainability report with climate data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climate neutrality by 2050 and a plan to move ferries to alternative fuels or electrification, in line with the decarbonisation-plan expectation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Not found in public reports:</w:t>
      </w:r>
      <w:r>
        <w:rPr>
          <w:b w:val="0"/>
          <w:color w:val="333333"/>
          <w:sz w:val="19"/>
        </w:rPr>
        <w:t xml:space="preserve"> Shipping requirements such as SEEMP, EEXI/CII compliance, vessel emission-intensity disclosure, responsible ship recycling and classification</w:t>
      </w:r>
      <w:hyperlink r:id="rId21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; human rights due diligence, whistleblowing channel and anti-corruption policy expected by SEB</w:t>
      </w:r>
      <w:hyperlink r:id="rId21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Open:</w:t>
      </w:r>
      <w:r>
        <w:rPr>
          <w:b w:val="0"/>
          <w:color w:val="333333"/>
          <w:sz w:val="19"/>
        </w:rPr>
        <w:t xml:space="preserve"> liquid bulk (oil products) handling; if fossil-related revenue is above 5%, the Fossil Fuels policy also applies</w:t>
      </w:r>
      <w:hyperlink r:id="rId11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 Analyst to check TS Laevad vessel documents.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Suggested topics: ferry fuel emissions and costs, pathway to −55% by 2030, anti-corruption controls after the case.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Available PAI data: Scope 1+2 emissions 19,261 t CO2e (2025)</w:t>
      </w:r>
      <w:hyperlink r:id="rId26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 Comparison with the Fund's targets - analyst.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excluded sectors; positives are emission targets and sustainability reporting. Review the outcome of the bribery case and fit with SEB shipping / transportation policies.</w:t>
      </w:r>
    </w:p>
    <w:p>
      <w:r>
        <w:rPr>
          <w:i/>
          <w:color w:val="5F6B7A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 (verify),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1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2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1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1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4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11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5">
        <w:r>
          <w:rPr>
            <w:color w:val="2A78D6"/>
            <w:sz w:val="17"/>
          </w:rPr>
          <w:t xml:space="preserve">SEB Sector Policy on Fossil Fuels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6">
        <w:r>
          <w:rPr>
            <w:color w:val="2A78D6"/>
            <w:sz w:val="17"/>
          </w:rPr>
          <w:t xml:space="preserve">Sustainability Report 2025, p. 22, 2026-04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sebgroup.com/sustainability/our-sustainability-strategy/policies" TargetMode="External"/><Relationship Id="rId21" Type="http://schemas.openxmlformats.org/officeDocument/2006/relationships/hyperlink" Target="https://webapp.sebgroup.com/mb/mblib.nsf/dld/C882785365792AC9C12587D700312ACF?opendocument" TargetMode="External"/><Relationship Id="rId22" Type="http://schemas.openxmlformats.org/officeDocument/2006/relationships/hyperlink" Target="https://webapp.sebgroup.com/mb/mblib.nsf/dld/B1113F0C7B3136E4C12587D70030204B?opendocument" TargetMode="External"/><Relationship Id="rId23" Type="http://schemas.openxmlformats.org/officeDocument/2006/relationships/hyperlink" Target="https://www.ts.ee/wp-content/uploads/2026/04/Sustainability_Report_2025.pdf#page=18" TargetMode="External"/><Relationship Id="rId24" Type="http://schemas.openxmlformats.org/officeDocument/2006/relationships/hyperlink" Target="https://webapp.sebgroup.com/mb/mblib.nsf/dld/B6C87DACA17DDE3CC1258B5C006292E0?opendocument" TargetMode="External"/><Relationship Id="rId25" Type="http://schemas.openxmlformats.org/officeDocument/2006/relationships/hyperlink" Target="https://webapp.sebgroup.com/mb/mblib.nsf/dld/80AF6A2E5F88CDC2C12586B1002E33C2?opendocument" TargetMode="External"/><Relationship Id="rId26" Type="http://schemas.openxmlformats.org/officeDocument/2006/relationships/hyperlink" Target="https://www.ts.ee/wp-content/uploads/2026/04/Sustainability_Report_2025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