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6 mėn. pajamos 59,3 mln. EUR (+2,4 %), koreguota EBITDA 25,8 mln. EUR (−13,5 %), marža 43,5 % (51,5 %), grynasis pelnas 6,0 mln. EUR (−41,7 %)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Vadovo teigimu, pelningumą II ketv. sumažino kylančios kuro kainos ir neplanuoti laivų remontai po ledo sąlygų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stabili:</w:t>
      </w:r>
      <w:r>
        <w:rPr>
          <w:b w:val="0"/>
        </w:rPr>
        <w:t xml:space="preserve"> grynoji skola 145,8 mln. EUR, grynoji skola / 12 mėn. koreguota EBITDA 2,78x, nuosavo kapitalo dalis 59,8 %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0,073 EUR akcijai, iš viso 19,2 mln. EUR – 85 % 2025 m. pelno (politika – ne mažiau 70 %);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Estijos valstybė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byla: 2024-06-27 teismas išteisino dėl senaties; prokuratūra ir gynyba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43,5 %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2,78xᶜ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59,8 %ᶜ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įrankio, patikrinti)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 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Buvusių vadovų kyšininkavimo byla (pradėta 2015 m.): 2024-06-27 teismas išteisino dėl senaties, prokuratūra ir gynyba apskundė; vėlesnis sprendimas nerastas. Įmonė byloje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 Valdo Estijos valstybė (67,03 %)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Rasta (EE žiniasklaida):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 Naujesnių neigiamų naujienų automatinė paieška (30 d.) nerado.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Klimato neutrali veikla iki 2050 m.; 1+2 apimties emisijos −55 % iki 2030 m. (nuo 2019 m.); 2025 m. – 19 261 t CO2e (−41,8 %, apskaičiuota įrankio)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 ES taksonomijos dalis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Geltonas signalas – neužbaigta buvusių vadovų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/>
          <w:color w:val="333333"/>
          <w:sz w:val="19"/>
        </w:rPr>
        <w:t>Taikoma:</w:t>
      </w:r>
      <w:r>
        <w:rPr>
          <w:b w:val="0"/>
          <w:color w:val="333333"/>
          <w:sz w:val="19"/>
        </w:rPr>
        <w:t xml:space="preserve"> SEB investicijų politika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 xml:space="preserve"> ir laivybos politika, nes keltų segmentas sudaro 31,4 % 6 mėn. 2026 m.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 Transporto politika netaikoma (tik kelių, geležinkelių ir oro transportas)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Atitinka:</w:t>
      </w:r>
      <w:r>
        <w:rPr>
          <w:b w:val="0"/>
          <w:color w:val="333333"/>
          <w:sz w:val="19"/>
        </w:rPr>
        <w:t xml:space="preserve"> bendrovės valdymo ar tarptautinių normų pažeidimų nerasta (buvusių vadovų byloje ji – nukentėjusioji)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; 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klimato neutralumas iki 2050 m. ir planas keltus perkelti prie alternatyvių kuro rūšių ar elektros – atitinka dekarbonizacijos plano lūkestį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Viešose ataskaitose nerasta:</w:t>
      </w:r>
      <w:r>
        <w:rPr>
          <w:b w:val="0"/>
          <w:color w:val="333333"/>
          <w:sz w:val="19"/>
        </w:rPr>
        <w:t xml:space="preserve"> laivybos reikalavimų – SEEMP, EEXI/CII atitikties, laivų emisijų intensyvumo atskleidimo, atsakingo laivų perdirbimo, klasifikacijos</w:t>
      </w:r>
      <w:hyperlink r:id="rId21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; žmogaus teisių patikros, pranešėjų kanalo ir antikorupcijos politikos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Neaišku:</w:t>
      </w:r>
      <w:r>
        <w:rPr>
          <w:b w:val="0"/>
          <w:color w:val="333333"/>
          <w:sz w:val="19"/>
        </w:rPr>
        <w:t xml:space="preserve"> skystų krovinių (naftos produktų) aptarnavimas – jei su iškastiniu kuru susijusios pajamos viršija 5 %, taikoma ir iškastinio kuro politika</w:t>
      </w:r>
      <w:hyperlink r:id="rId11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 Analitikas tikrina TS Laevad laivų dokumentus.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Siūlomi klausimai: keltų kuro emisijos ir sąnaudos, kelias iki −55 % 2030 m., antikorupcijos priemonės po bylos.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Turimi PAI duomenys: 1+2 apimties emisijos 19 261 t CO2e (2025)</w:t>
      </w:r>
      <w:hyperlink r:id="rId26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 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Išskirtinių sektorių nėra; teigiama – emisijų tikslai ir tvarumo ataskaita. Peržiūrėti kyšininkavimo bylos baigtį ir SEB laivybos / transporto politikų atitiktį.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(patikrinti),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1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1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4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Sector Policy on Fossil Fuels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sebgroup.com/sustainability/our-sustainability-strategy/policies" TargetMode="External"/><Relationship Id="rId21" Type="http://schemas.openxmlformats.org/officeDocument/2006/relationships/hyperlink" Target="https://webapp.sebgroup.com/mb/mblib.nsf/dld/C882785365792AC9C12587D700312ACF?opendocument" TargetMode="External"/><Relationship Id="rId22" Type="http://schemas.openxmlformats.org/officeDocument/2006/relationships/hyperlink" Target="https://webapp.sebgroup.com/mb/mblib.nsf/dld/B1113F0C7B3136E4C12587D70030204B?opendocument" TargetMode="External"/><Relationship Id="rId23" Type="http://schemas.openxmlformats.org/officeDocument/2006/relationships/hyperlink" Target="https://www.ts.ee/wp-content/uploads/2026/04/Sustainability_Report_2025.pdf#page=18" TargetMode="External"/><Relationship Id="rId24" Type="http://schemas.openxmlformats.org/officeDocument/2006/relationships/hyperlink" Target="https://webapp.sebgroup.com/mb/mblib.nsf/dld/B6C87DACA17DDE3CC1258B5C006292E0?opendocument" TargetMode="External"/><Relationship Id="rId25" Type="http://schemas.openxmlformats.org/officeDocument/2006/relationships/hyperlink" Target="https://webapp.sebgroup.com/mb/mblib.nsf/dld/80AF6A2E5F88CDC2C12586B1002E33C2?opendocument" TargetMode="External"/><Relationship Id="rId26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