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24" w:color="12355B" w:space="0"/>
        </w:pBdr>
        <w:spacing w:before="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7030"/>
        <w:gridCol w:w="2608"/>
      </w:tblGrid>
      <w:tr>
        <w:tc>
          <w:tcPr>
            <w:tcW w:type="dxa" w:w="7030"/>
          </w:tcPr>
          <w:p>
            <w:pPr>
              <w:spacing w:before="0" w:after="0"/>
            </w:pPr>
            <w:r>
              <w:rPr>
                <w:b/>
                <w:caps/>
                <w:color w:val="2A78D6"/>
                <w:sz w:val="16"/>
              </w:rPr>
              <w:t>Issuer review · 6M2026</w:t>
            </w:r>
          </w:p>
          <w:p>
            <w:pPr>
              <w:spacing w:before="40" w:after="0"/>
            </w:pPr>
            <w:r>
              <w:rPr>
                <w:b/>
                <w:color w:val="12355B"/>
                <w:sz w:val="40"/>
              </w:rPr>
              <w:t>Valstybės investicinis kapitalas (VIK)</w:t>
            </w:r>
          </w:p>
          <w:p>
            <w:pPr>
              <w:spacing w:before="40" w:after="0"/>
            </w:pPr>
            <w:r>
              <w:rPr>
                <w:b w:val="0"/>
                <w:color w:val="667085"/>
                <w:sz w:val="18"/>
              </w:rPr>
              <w:t>Lithuania · State investment company (defence industry, energy, Business Support Fund)</w:t>
            </w:r>
          </w:p>
        </w:tc>
        <w:tc>
          <w:tcPr>
            <w:tcW w:type="dxa" w:w="2608"/>
          </w:tcPr>
          <w:p>
            <w:pPr>
              <w:spacing w:before="440" w:after="0"/>
              <w:jc w:val="right"/>
            </w:pPr>
            <w:r>
              <w:rPr>
                <w:b/>
                <w:color w:val="1B7F3B"/>
                <w:sz w:val="18"/>
                <w:shd w:val="clear" w:color="auto" w:fill="E3F3E8"/>
              </w:rPr>
              <w:t xml:space="preserve">  ●  OK  </w:t>
            </w:r>
          </w:p>
        </w:tc>
      </w:tr>
    </w:tbl>
    <w:p>
      <w:pPr>
        <w:pBdr>
          <w:top w:val="single" w:sz="4" w:color="D5DCE4" w:space="0"/>
        </w:pBdr>
        <w:spacing w:before="12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60" w:type="dxa"/>
          <w:left w:w="220" w:type="dxa"/>
          <w:bottom w:w="160" w:type="dxa"/>
          <w:right w:w="220" w:type="dxa"/>
        </w:tblCellMar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Key facts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Issuer rating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Fitch A+ on the EUR 400m bond programme, linked to Lithuania's rating through the state guarantee</w:t>
            </w:r>
            <w:hyperlink r:id="rId12">
              <w:r>
                <w:rPr>
                  <w:color w:val="2A78D6"/>
                  <w:vertAlign w:val="superscript"/>
                  <w:sz w:val="15"/>
                </w:rPr>
                <w:t xml:space="preserve">1</w:t>
              </w:r>
            </w:hyperlink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Analysis date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2026-10-22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Next report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9M 2026 interim report - expected November 2026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Country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Lithuania</w:t>
            </w:r>
          </w:p>
        </w:tc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Securities held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Valst. inv. kap. 2.826% 5Y bond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LT0000406613  ·  2.826% · 2027-06-30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no separate rating found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Valst. inv. kap. 3.119% 4Y bond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LT0000135436  ·  3.119% · 2029-09-24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no separate rating found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80" w:type="dxa"/>
          <w:left w:w="260" w:type="dxa"/>
          <w:bottom w:w="200" w:type="dxa"/>
          <w:right w:w="260" w:type="dxa"/>
        </w:tblCellMar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8"/>
            <w:tcBorders>
              <w:top w:val="nil"/>
              <w:left w:val="single" w:sz="24" w:color="1B7F3B" w:space="0"/>
              <w:bottom w:val="nil"/>
              <w:right w:val="nil"/>
            </w:tcBorders>
            <w:shd w:val="clear" w:color="auto" w:fill="E3F3E8"/>
          </w:tcPr>
          <w:p>
            <w:pPr>
              <w:spacing w:before="0" w:after="0" w:line="276" w:lineRule="auto"/>
            </w:pPr>
            <w:r>
              <w:rPr>
                <w:b/>
                <w:color w:val="1B2430"/>
                <w:sz w:val="21"/>
              </w:rPr>
              <w:t>Position OK.</w:t>
            </w:r>
            <w:r>
              <w:rPr>
                <w:b w:val="0"/>
                <w:color w:val="1B2430"/>
                <w:sz w:val="21"/>
              </w:rPr>
              <w:t xml:space="preserve"> VIK is 100% state-owned and Fitch rates its bond programme A+, linked to the state guarantee</w:t>
            </w:r>
            <w:hyperlink r:id="rId13">
              <w:r>
                <w:rPr>
                  <w:color w:val="2A78D6"/>
                  <w:vertAlign w:val="superscript"/>
                  <w:sz w:val="17"/>
                </w:rPr>
                <w:t xml:space="preserve">2</w:t>
              </w:r>
            </w:hyperlink>
            <w:r>
              <w:rPr>
                <w:b w:val="0"/>
                <w:color w:val="1B2430"/>
                <w:sz w:val="21"/>
              </w:rPr>
              <w:t>. 1H profit EUR 7.1m, equity ratio 70% (own calculation)</w:t>
            </w:r>
            <w:hyperlink r:id="rId14">
              <w:r>
                <w:rPr>
                  <w:color w:val="2A78D6"/>
                  <w:vertAlign w:val="superscript"/>
                  <w:sz w:val="17"/>
                </w:rPr>
                <w:t xml:space="preserve">3</w:t>
              </w:r>
            </w:hyperlink>
            <w:r>
              <w:rPr>
                <w:b w:val="0"/>
                <w:color w:val="1B2430"/>
                <w:sz w:val="21"/>
              </w:rPr>
              <w:t>.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50" w:type="dxa"/>
          <w:left w:w="170" w:type="dxa"/>
          <w:bottom w:w="150" w:type="dxa"/>
          <w:right w:w="100" w:type="dxa"/>
        </w:tblCellMar>
        <w:tblLook w:firstColumn="1" w:firstRow="1" w:lastColumn="0" w:lastRow="0" w:noHBand="0" w:noVBand="1" w:val="04A0"/>
      </w:tblPr>
      <w:tblGrid>
        <w:gridCol w:w="2260"/>
        <w:gridCol w:w="198"/>
        <w:gridCol w:w="2260"/>
        <w:gridCol w:w="198"/>
        <w:gridCol w:w="2260"/>
        <w:gridCol w:w="198"/>
        <w:gridCol w:w="2260"/>
      </w:tblGrid>
      <w:tr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Total assets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169.4</w:t>
            </w:r>
            <w:r>
              <w:rPr>
                <w:b w:val="0"/>
                <w:color w:val="667085"/>
                <w:sz w:val="18"/>
              </w:rPr>
              <w:t xml:space="preserve"> EUR m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▼ 7.4 %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Equity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118.9</w:t>
            </w:r>
            <w:r>
              <w:rPr>
                <w:b w:val="0"/>
                <w:color w:val="667085"/>
                <w:sz w:val="18"/>
              </w:rPr>
              <w:t xml:space="preserve"> EUR m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10.2 %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Equity ratio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70.1</w:t>
            </w:r>
            <w:r>
              <w:rPr>
                <w:b w:val="0"/>
                <w:color w:val="667085"/>
                <w:sz w:val="18"/>
              </w:rPr>
              <w:t xml:space="preserve"> %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11.1 p. p.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Net profit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7.13</w:t>
            </w:r>
            <w:r>
              <w:rPr>
                <w:b w:val="0"/>
                <w:color w:val="667085"/>
                <w:sz w:val="18"/>
              </w:rPr>
              <w:t xml:space="preserve"> EUR m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9,012.5 % vs 6M2025</w:t>
            </w:r>
          </w:p>
        </w:tc>
      </w:tr>
    </w:tbl>
    <w:p>
      <w:pPr>
        <w:spacing w:before="0" w:after="40"/>
      </w:pPr>
    </w:p>
    <w:p>
      <w:pPr>
        <w:keepNext/>
        <w:spacing w:before="200" w:after="100"/>
      </w:pPr>
      <w:r>
        <w:rPr>
          <w:b/>
          <w:color w:val="12355B"/>
          <w:sz w:val="26"/>
        </w:rPr>
        <w:t>Quick summary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State defence investor:</w:t>
      </w:r>
      <w:r>
        <w:rPr>
          <w:b w:val="0"/>
        </w:rPr>
        <w:t xml:space="preserve"> VIK finances Lithuania's defence industry and other strategic sectors; its main project is the Rheinmetall ammunition plant in Baisogala (VIK investment up to EUR 71.05m)</w:t>
      </w:r>
      <w:hyperlink r:id="rId15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color w:val="2A78D6"/>
          <w:vertAlign w:val="superscript"/>
        </w:rPr>
        <w:t>,</w:t>
      </w:r>
      <w:hyperlink r:id="rId16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Rating upgraded:</w:t>
      </w:r>
      <w:r>
        <w:rPr>
          <w:b w:val="0"/>
        </w:rPr>
        <w:t xml:space="preserve"> Fitch rates the bond programme A+, the highest so far</w:t>
      </w:r>
      <w:hyperlink r:id="rId12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Cash returning from the Business Support Fund:</w:t>
      </w:r>
      <w:r>
        <w:rPr>
          <w:b w:val="0"/>
        </w:rPr>
        <w:t xml:space="preserve"> EUR 120.5m (60%) of the EUR 200m returned so far, the rest by mid-2028; another EUR 22m received on 2026-07-02</w:t>
      </w:r>
      <w:hyperlink r:id="rId17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color w:val="2A78D6"/>
          <w:vertAlign w:val="superscript"/>
        </w:rPr>
        <w:t>,</w:t>
      </w:r>
      <w:hyperlink r:id="rId18">
        <w:r>
          <w:rPr>
            <w:color w:val="2A78D6"/>
            <w:vertAlign w:val="superscript"/>
            <w:sz w:val="17"/>
          </w:rPr>
          <w:t xml:space="preserve">8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Debt falling:</w:t>
      </w:r>
      <w:r>
        <w:rPr>
          <w:b w:val="0"/>
        </w:rPr>
        <w:t xml:space="preserve"> EUR 75m of the EUR 125m of bonds issued has already been redeemed</w:t>
      </w:r>
      <w:hyperlink r:id="rId16">
        <w:r>
          <w:rPr>
            <w:color w:val="2A78D6"/>
            <w:vertAlign w:val="superscript"/>
            <w:sz w:val="17"/>
          </w:rPr>
          <w:t xml:space="preserve">9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01</w:t>
        <w:tab/>
      </w:r>
      <w:r>
        <w:rPr>
          <w:b/>
          <w:color w:val="12355B"/>
          <w:sz w:val="28"/>
        </w:rPr>
        <w:t>Instruments held and ISINs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1457"/>
        <w:gridCol w:w="2241"/>
        <w:gridCol w:w="1064"/>
        <w:gridCol w:w="1120"/>
        <w:gridCol w:w="1569"/>
        <w:gridCol w:w="2185"/>
      </w:tblGrid>
      <w:tr>
        <w:tc>
          <w:tcPr>
            <w:tcW w:type="dxa" w:w="14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ISIN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Instrument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Coupon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Maturity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Issue rating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Note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LT0000406613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Valst. inv. kap. 2.826% 5Y bond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2.826%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2027-06-30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no separate rating found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Senior; listed 2022-07-04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LT0000135436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Valst. inv. kap. 3.119% 4Y bond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3.119%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2029-09-24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no separate rating found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Defence bond under the EUR 400m programme (Fitch A+); proceeds to the Rheinmetall project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02</w:t>
        <w:tab/>
      </w:r>
      <w:r>
        <w:rPr>
          <w:b/>
          <w:color w:val="12355B"/>
          <w:sz w:val="28"/>
        </w:rPr>
        <w:t>Key ratios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864"/>
        <w:gridCol w:w="1156"/>
        <w:gridCol w:w="1156"/>
        <w:gridCol w:w="1156"/>
        <w:gridCol w:w="1156"/>
        <w:gridCol w:w="2148"/>
      </w:tblGrid>
      <w:tr>
        <w:tc>
          <w:tcPr>
            <w:tcW w:type="dxa" w:w="286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Metric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FY2024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FY2025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6M2025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6M2026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Change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Total assets, EUR m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208.4*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162.3*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182.9*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169.4*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▼ 7.4 %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Equity, EUR m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108.0*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111.7*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107.9*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118.9*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10.2 %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Equity ratio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51.8%ᶜ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68.9%ᶜ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59.0%ᶜ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70.1%ᶜ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11.1 p. p.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Net profit, EUR m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8.14*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3.76*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-0.08*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7.13*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7.21 EURm vs 6M2025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Colours: green change – the metric is improving, red – worsening. Latest-period cell background: green – good level, amber – average, red – weak (internal benchmarks, config/metric_rules.yaml).</w:t>
      </w:r>
    </w:p>
    <w:p>
      <w:pPr>
        <w:spacing w:before="40" w:after="60"/>
      </w:pPr>
      <w:r>
        <w:rPr>
          <w:b w:val="0"/>
          <w:color w:val="667085"/>
          <w:sz w:val="16"/>
        </w:rPr>
        <w:t>* – taken from the report summary;  ᶜ – own calculation. Small numbers next to text link to the source (opens the document at the cited page).</w:t>
      </w:r>
    </w:p>
    <w:p>
      <w:r>
        <w:drawing>
          <wp:inline xmlns:a="http://schemas.openxmlformats.org/drawingml/2006/main" xmlns:pic="http://schemas.openxmlformats.org/drawingml/2006/picture">
            <wp:extent cx="6120000" cy="22311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ik_en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2311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03</w:t>
        <w:tab/>
      </w:r>
      <w:r>
        <w:rPr>
          <w:b/>
          <w:color w:val="12355B"/>
          <w:sz w:val="28"/>
        </w:rPr>
        <w:t>Business performance review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In 2025 VIK bought 49% of EPSO-G Invest (EUR 36.3m), which owns 48% of Rheinmetall Defence Lietuva; plant construction started on 2025-11-04</w:t>
      </w:r>
      <w:hyperlink r:id="rId16">
        <w:r>
          <w:rPr>
            <w:color w:val="2A78D6"/>
            <w:vertAlign w:val="superscript"/>
            <w:sz w:val="17"/>
          </w:rPr>
          <w:t xml:space="preserve">13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In 2026 a memorandum was signed with Rheinmetall Landsysteme and KNDS Deutschland on a ~EUR 50m maintenance centre in the Kaunas FEZ</w:t>
      </w:r>
      <w:hyperlink r:id="rId12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In February 2026 the shareholder decided to transfer VIK's shares to the state-controlled ILTE (Government approval needed)</w:t>
      </w:r>
      <w:hyperlink r:id="rId22">
        <w:r>
          <w:rPr>
            <w:color w:val="2A78D6"/>
            <w:vertAlign w:val="superscript"/>
            <w:sz w:val="17"/>
          </w:rPr>
          <w:t xml:space="preserve">14</w:t>
        </w:r>
      </w:hyperlink>
      <w:r>
        <w:rPr>
          <w:color w:val="2A78D6"/>
          <w:vertAlign w:val="superscript"/>
        </w:rPr>
        <w:t>,</w:t>
      </w:r>
      <w:hyperlink r:id="rId12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04</w:t>
        <w:tab/>
      </w:r>
      <w:r>
        <w:rPr>
          <w:b/>
          <w:color w:val="12355B"/>
          <w:sz w:val="28"/>
        </w:rPr>
        <w:t>Financials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Total assets EUR 169.4m, equity EUR 118.9m; 1H profit EUR 7.1m, mainly from an EUR 8.0m fair value gain</w:t>
      </w:r>
      <w:hyperlink r:id="rId14">
        <w:r>
          <w:rPr>
            <w:color w:val="2A78D6"/>
            <w:vertAlign w:val="superscript"/>
            <w:sz w:val="17"/>
          </w:rPr>
          <w:t xml:space="preserve">3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FY2025 profit EUR 3.8m (2024:</w:t>
      </w:r>
      <w:r>
        <w:rPr>
          <w:b w:val="0"/>
        </w:rPr>
        <w:t xml:space="preserve"> 8.1m); bonds outstanding at 2026-06-30 about EUR 50.6m (own calculation)</w:t>
      </w:r>
      <w:hyperlink r:id="rId20">
        <w:r>
          <w:rPr>
            <w:color w:val="2A78D6"/>
            <w:vertAlign w:val="superscript"/>
            <w:sz w:val="17"/>
          </w:rPr>
          <w:t xml:space="preserve">11</w:t>
        </w:r>
      </w:hyperlink>
      <w:r>
        <w:rPr>
          <w:color w:val="2A78D6"/>
          <w:vertAlign w:val="superscript"/>
        </w:rPr>
        <w:t>,</w:t>
      </w:r>
      <w:hyperlink r:id="rId23">
        <w:r>
          <w:rPr>
            <w:color w:val="2A78D6"/>
            <w:vertAlign w:val="superscript"/>
            <w:sz w:val="17"/>
          </w:rPr>
          <w:t xml:space="preserve">15</w:t>
        </w:r>
      </w:hyperlink>
      <w:r>
        <w:rPr>
          <w:color w:val="2A78D6"/>
          <w:vertAlign w:val="superscript"/>
        </w:rPr>
        <w:t>,</w:t>
      </w:r>
      <w:hyperlink r:id="rId14">
        <w:r>
          <w:rPr>
            <w:color w:val="2A78D6"/>
            <w:vertAlign w:val="superscript"/>
            <w:sz w:val="17"/>
          </w:rPr>
          <w:t xml:space="preserve">12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05</w:t>
        <w:tab/>
      </w:r>
      <w:r>
        <w:rPr>
          <w:b/>
          <w:color w:val="12355B"/>
          <w:sz w:val="28"/>
        </w:rPr>
        <w:t>Past plans vs outcomes</w:t>
      </w:r>
    </w:p>
    <w:tbl>
      <w:tblPr>
        <w:tblW w:w="9638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577"/>
        <w:gridCol w:w="2577"/>
        <w:gridCol w:w="3138"/>
        <w:gridCol w:w="1344"/>
      </w:tblGrid>
      <w:tr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Plan / target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Outcome</w:t>
            </w:r>
          </w:p>
        </w:tc>
        <w:tc>
          <w:tcPr>
            <w:tcW w:type="dxa" w:w="313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What changed and why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Status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Recover the full EUR 200m Business Support Fund investment by mid-2028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 120.5m (60%) returned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16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On track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16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In progress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Invest up to EUR 71.05m in the Rheinmetall Defence Lietuva project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 36m invested in 2025; construction under way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In progress; also financed by the EUR 25m defence bond</w:t>
            </w:r>
            <w:hyperlink r:id="rId24">
              <w:r>
                <w:rPr>
                  <w:color w:val="2A78D6"/>
                  <w:vertAlign w:val="superscript"/>
                  <w:sz w:val="14"/>
                </w:rPr>
                <w:t xml:space="preserve">17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In progress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06</w:t>
        <w:tab/>
      </w:r>
      <w:r>
        <w:rPr>
          <w:b/>
          <w:color w:val="12355B"/>
          <w:sz w:val="28"/>
        </w:rPr>
        <w:t>Investor information &amp; conclusions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Instruments held:</w:t>
      </w:r>
      <w:r>
        <w:rPr>
          <w:b w:val="0"/>
        </w:rPr>
        <w:t xml:space="preserve"> a 2.826% bond maturing 2027-06-30 (Nasdaq Vilnius since 2022-07-04) and a 3.119% defence bond, EUR 25m, issued 2025-09-24, maturing 2029-09-24, with proceeds fully allocated to the Rheinmetall project</w:t>
      </w:r>
      <w:hyperlink r:id="rId25">
        <w:r>
          <w:rPr>
            <w:color w:val="2A78D6"/>
            <w:vertAlign w:val="superscript"/>
            <w:sz w:val="17"/>
          </w:rPr>
          <w:t xml:space="preserve">18</w:t>
        </w:r>
      </w:hyperlink>
      <w:r>
        <w:rPr>
          <w:color w:val="2A78D6"/>
          <w:vertAlign w:val="superscript"/>
        </w:rPr>
        <w:t>,</w:t>
      </w:r>
      <w:hyperlink r:id="rId24">
        <w:r>
          <w:rPr>
            <w:color w:val="2A78D6"/>
            <w:vertAlign w:val="superscript"/>
            <w:sz w:val="17"/>
          </w:rPr>
          <w:t xml:space="preserve">17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Credit risk close to the sovereign:</w:t>
      </w:r>
      <w:r>
        <w:rPr>
          <w:b w:val="0"/>
        </w:rPr>
        <w:t xml:space="preserve"> the bonds are backed by a state guarantee, so the Fitch A+ rating is linked to Lithuania's rating</w:t>
      </w:r>
      <w:hyperlink r:id="rId17">
        <w:r>
          <w:rPr>
            <w:color w:val="2A78D6"/>
            <w:vertAlign w:val="superscript"/>
            <w:sz w:val="17"/>
          </w:rPr>
          <w:t xml:space="preserve">19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Conclusion:</w:t>
      </w:r>
      <w:r>
        <w:rPr>
          <w:b w:val="0"/>
        </w:rPr>
        <w:t xml:space="preserve"> low risk thanks to state ownership and guarantee, falling debt and returning fund money.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07</w:t>
        <w:tab/>
      </w:r>
      <w:r>
        <w:rPr>
          <w:b/>
          <w:color w:val="12355B"/>
          <w:sz w:val="28"/>
        </w:rPr>
        <w:t>Market and environment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Defence priority:</w:t>
      </w:r>
      <w:r>
        <w:rPr>
          <w:b w:val="0"/>
        </w:rPr>
        <w:t xml:space="preserve"> given the changed geopolitical situation, investment priority goes to defence and security</w:t>
      </w:r>
      <w:hyperlink r:id="rId15">
        <w:r>
          <w:rPr>
            <w:color w:val="2A78D6"/>
            <w:vertAlign w:val="superscript"/>
            <w:sz w:val="17"/>
          </w:rPr>
          <w:t xml:space="preserve">20</w:t>
        </w:r>
      </w:hyperlink>
      <w:r>
        <w:rPr>
          <w:b w:val="0"/>
        </w:rPr>
        <w:t>; VIK may invest up to EUR 71.05m in Rheinmetall Defence Lietuva</w:t>
      </w:r>
      <w:hyperlink r:id="rId26">
        <w:r>
          <w:rPr>
            <w:color w:val="2A78D6"/>
            <w:vertAlign w:val="superscript"/>
            <w:sz w:val="17"/>
          </w:rPr>
          <w:t xml:space="preserve">21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Profit from revaluation:</w:t>
      </w:r>
      <w:r>
        <w:rPr>
          <w:b w:val="0"/>
        </w:rPr>
        <w:t xml:space="preserve"> net profit EUR 7.1m (a year earlier -0.1m) due to appreciation of long-term financial assets</w:t>
      </w:r>
      <w:hyperlink r:id="rId27">
        <w:r>
          <w:rPr>
            <w:color w:val="2A78D6"/>
            <w:vertAlign w:val="superscript"/>
            <w:sz w:val="17"/>
          </w:rPr>
          <w:t xml:space="preserve">22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Funding:</w:t>
      </w:r>
      <w:r>
        <w:rPr>
          <w:b w:val="0"/>
        </w:rPr>
        <w:t xml:space="preserve"> Fitch rated the bond programme A+, the highest so far; the Government set a 2026 borrowing limit of EUR 153m</w:t>
      </w:r>
      <w:hyperlink r:id="rId12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b w:val="0"/>
        </w:rPr>
        <w:t>; by mid-2028 PVF returns and bond redemption proceeds will be an important funding source</w:t>
      </w:r>
      <w:hyperlink r:id="rId17">
        <w:r>
          <w:rPr>
            <w:color w:val="2A78D6"/>
            <w:vertAlign w:val="superscript"/>
            <w:sz w:val="17"/>
          </w:rPr>
          <w:t xml:space="preserve">16</w:t>
        </w:r>
      </w:hyperlink>
      <w:r>
        <w:rPr>
          <w:b w:val="0"/>
        </w:rPr>
        <w:t>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3515"/>
        <w:gridCol w:w="1814"/>
        <w:gridCol w:w="1360"/>
        <w:gridCol w:w="1360"/>
        <w:gridCol w:w="1587"/>
      </w:tblGrid>
      <w:tr>
        <w:tc>
          <w:tcPr>
            <w:tcW w:type="dxa" w:w="351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</w:r>
          </w:p>
        </w:tc>
        <w:tc>
          <w:tcPr>
            <w:tcW w:type="dxa" w:w="181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Now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3 months ago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12 months ago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12-month change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ECB deposit facility rate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2.50%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2.25%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3-month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2.64%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2.34%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2.03%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0.61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6-month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2.92%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2.60%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2.10%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0.82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12-month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3.25%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2.80%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2.17%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1.08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area AAA government 10-year yield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3.38% (2026-10)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3.23%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2.72%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0.66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area inflation (HICP, annual)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1.90% (2025-12)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2.20%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2.40%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▼ 0.50 p. p.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Euro area rates and inflation (ECB data, end-of-month value; Euribor and inflation – monthly average). Relevant for floating-rate and reset bonds and refinancing costs.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08</w:t>
        <w:tab/>
      </w:r>
      <w:r>
        <w:rPr>
          <w:b/>
          <w:color w:val="12355B"/>
          <w:sz w:val="28"/>
        </w:rPr>
        <w:t>In the press</w:t>
      </w:r>
    </w:p>
    <w:p>
      <w:pPr>
        <w:spacing w:before="40" w:after="60"/>
      </w:pPr>
      <w:r>
        <w:rPr>
          <w:b w:val="0"/>
          <w:color w:val="667085"/>
          <w:sz w:val="18"/>
        </w:rPr>
        <w:t>Automatic news scan (Google News, LT), 2026-07-25 – 2026-10-23: 2 articles.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80" w:type="dxa"/>
          <w:left w:w="0" w:type="dxa"/>
          <w:bottom w:w="80" w:type="dxa"/>
          <w:right w:w="120" w:type="dxa"/>
        </w:tblCellMar>
        <w:tblLook w:firstColumn="1" w:firstRow="1" w:lastColumn="0" w:lastRow="0" w:noHBand="0" w:noVBand="1" w:val="04A0"/>
      </w:tblPr>
      <w:tblGrid>
        <w:gridCol w:w="1020"/>
        <w:gridCol w:w="1360"/>
        <w:gridCol w:w="7257"/>
      </w:tblGrid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2026-09-23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OTHER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28">
              <w:r>
                <w:rPr>
                  <w:color w:val="1B2430"/>
                  <w:sz w:val="18"/>
                </w:rPr>
                <w:t xml:space="preserve">bendrovei UAB „Valstybės investicinis kapitalas“ numatomas išskirtinis vaidmuo skatinant kapitalo rinkas bei mobilizuojant investicijas gynybos sektoriuje</w:t>
              </w:r>
            </w:hyperlink>
            <w:r>
              <w:rPr>
                <w:b w:val="0"/>
                <w:color w:val="667085"/>
                <w:sz w:val="15"/>
              </w:rPr>
              <w:t xml:space="preserve">   Lietuvos Respublikos Vyriausybė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2026-09-23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OTHER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29">
              <w:r>
                <w:rPr>
                  <w:color w:val="1B2430"/>
                  <w:sz w:val="18"/>
                </w:rPr>
                <w:t xml:space="preserve">„Valstybės investicinis kapitalas“ nebus prijungtas prie ILTE</w:t>
              </w:r>
            </w:hyperlink>
            <w:r>
              <w:rPr>
                <w:b w:val="0"/>
                <w:color w:val="667085"/>
                <w:sz w:val="15"/>
              </w:rPr>
              <w:t xml:space="preserve">   15min.lt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09</w:t>
        <w:tab/>
      </w:r>
      <w:r>
        <w:rPr>
          <w:b/>
          <w:color w:val="12355B"/>
          <w:sz w:val="28"/>
        </w:rPr>
        <w:t>ESG report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Exclusionary screening (companies)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involved in excluded sectors: controversial and nuclear weapons, tobacco, gambling and restricted sectors in fossil fuel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controversial or nuclear weapons.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VIK invests in conventional defence industry (the Rheinmetall ammunition plant in Lithuania)</w:t>
            </w:r>
            <w:hyperlink r:id="rId16">
              <w:r>
                <w:rPr>
                  <w:color w:val="2A78D6"/>
                  <w:vertAlign w:val="superscript"/>
                  <w:sz w:val="15"/>
                </w:rPr>
                <w:t xml:space="preserve">9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The SEB Arms and Defence policy only restricts controversial weapons, nuclear weapons outside NATO, civilian semi-automatic arms and unlicensed trade</w:t>
            </w:r>
            <w:hyperlink r:id="rId30">
              <w:r>
                <w:rPr>
                  <w:color w:val="2A78D6"/>
                  <w:vertAlign w:val="superscript"/>
                  <w:sz w:val="15"/>
                </w:rPr>
                <w:t xml:space="preserve">23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red flag/signal related to controversies based on UN Global Compact, OECD Guidelines for Multinational Enterprises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UN Global Compact or OECD related controversies found.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 the list of sanctions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Not found on the EU, UN, UK, US OFAC consolidated sanctions lists (automatic check 2026-10-23).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issues were not identified from adverse media checks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adverse news found (2026-10-22).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News summary 2026-07-25 – 2026-10-23: 2 articles, 0 with an adverse keyword in the headline (details in the section "In the press").</w:t>
            </w:r>
          </w:p>
        </w:tc>
      </w:tr>
    </w:tbl>
    <w:p>
      <w:pPr>
        <w:spacing w:before="120" w:after="40"/>
      </w:pPr>
      <w:r>
        <w:rPr>
          <w:i/>
          <w:color w:val="333333"/>
          <w:sz w:val="18"/>
        </w:rPr>
        <w:t>In case any red flags, risks, unclarities were identified then additional checks (sanctions screening and adverse media checks) on the company’s Ultimate Beneficial Owners and/or senior management shall be performed.</w:t>
      </w:r>
    </w:p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ESG integration and positive screening (positive answers imply higher allocation)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promoting environmental or social characteristics (activities, ESG policy, good ESG rating, etc)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Social benefit – national security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VIK finances Lithuania's defence and security industry, e.g. the ammunition plant in Baisogala</w:t>
            </w:r>
            <w:hyperlink r:id="rId15">
              <w:r>
                <w:rPr>
                  <w:color w:val="2A78D6"/>
                  <w:vertAlign w:val="superscript"/>
                  <w:sz w:val="15"/>
                </w:rPr>
                <w:t xml:space="preserve">4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By investing we contribute to national security, which we assign to the 'S' (social) part of ESG (owner's assessment, 2026-10-23).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VIK itself states that sustainability is not its primary objective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The priority is defence and security</w:t>
            </w:r>
            <w:hyperlink r:id="rId31">
              <w:r>
                <w:rPr>
                  <w:color w:val="2A78D6"/>
                  <w:vertAlign w:val="superscript"/>
                  <w:sz w:val="15"/>
                </w:rPr>
                <w:t xml:space="preserve">24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9AA5B1"/>
                <w:sz w:val="24"/>
              </w:rPr>
              <w:t>☐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activities of the company or it’s strategy is aligned with the taxonomy and/or Paris agreement targets (e.g. net zero commitment)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climate or taxonomy targets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Green procurement through CPO LT</w:t>
            </w:r>
            <w:hyperlink r:id="rId32">
              <w:r>
                <w:rPr>
                  <w:color w:val="2A78D6"/>
                  <w:vertAlign w:val="superscript"/>
                  <w:sz w:val="15"/>
                </w:rPr>
                <w:t xml:space="preserve">25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yellow flag/signal related to controversies based on UN Global Compact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yellow flags found.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The Nasdaq Vilnius corporate governance code is applied</w:t>
            </w:r>
            <w:hyperlink r:id="rId33">
              <w:r>
                <w:rPr>
                  <w:color w:val="2A78D6"/>
                  <w:vertAlign w:val="superscript"/>
                  <w:sz w:val="15"/>
                </w:rPr>
                <w:t xml:space="preserve">26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fulfills the expectations from SEB thematic and sector policies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Applicable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The Investments policy</w:t>
            </w:r>
            <w:hyperlink r:id="rId30">
              <w:r>
                <w:rPr>
                  <w:color w:val="2A78D6"/>
                  <w:vertAlign w:val="superscript"/>
                  <w:sz w:val="15"/>
                </w:rPr>
                <w:t xml:space="preserve">27</w:t>
              </w:r>
            </w:hyperlink>
            <w:r>
              <w:rPr>
                <w:b w:val="0"/>
                <w:color w:val="333333"/>
                <w:sz w:val="18"/>
              </w:rPr>
              <w:t xml:space="preserve"> and the Arms and Defence policy</w:t>
            </w:r>
            <w:hyperlink r:id="rId30">
              <w:r>
                <w:rPr>
                  <w:color w:val="2A78D6"/>
                  <w:vertAlign w:val="superscript"/>
                  <w:sz w:val="15"/>
                </w:rPr>
                <w:t xml:space="preserve">23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Met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Investments in licensed defence production in a NATO country, with no controversial or nuclear weapons</w:t>
            </w:r>
            <w:hyperlink r:id="rId16">
              <w:r>
                <w:rPr>
                  <w:color w:val="2A78D6"/>
                  <w:vertAlign w:val="superscript"/>
                  <w:sz w:val="15"/>
                </w:rPr>
                <w:t xml:space="preserve">9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Corporate governance code</w:t>
            </w:r>
            <w:hyperlink r:id="rId33">
              <w:r>
                <w:rPr>
                  <w:color w:val="2A78D6"/>
                  <w:vertAlign w:val="superscript"/>
                  <w:sz w:val="15"/>
                </w:rPr>
                <w:t xml:space="preserve">26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Could be improved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public ESG policy found.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Engagement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9AA5B1"/>
                <w:sz w:val="24"/>
              </w:rPr>
              <w:t>☐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Is there a need for pro-active engagement with the company?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need: a state company with a clear defence mandate.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Indicators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indicators of the company support the targets of sustainability and PAI indicators followed by the Fund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VIK has no premises or property, so its direct environmental impact is small</w:t>
            </w:r>
            <w:hyperlink r:id="rId32">
              <w:r>
                <w:rPr>
                  <w:color w:val="2A78D6"/>
                  <w:vertAlign w:val="superscript"/>
                  <w:sz w:val="15"/>
                </w:rPr>
                <w:t xml:space="preserve">25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The key PAI indicator for the fund is weapons exposure: conventional weapons only</w:t>
            </w:r>
            <w:hyperlink r:id="rId34">
              <w:r>
                <w:rPr>
                  <w:color w:val="2A78D6"/>
                  <w:vertAlign w:val="superscript"/>
                  <w:sz w:val="15"/>
                </w:rPr>
                <w:t xml:space="preserve">28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spacing w:before="120" w:after="40"/>
      </w:pPr>
      <w:r>
        <w:rPr>
          <w:b/>
          <w:sz w:val="19"/>
        </w:rPr>
        <w:t xml:space="preserve">Conclusion: </w:t>
      </w:r>
      <w:r>
        <w:rPr>
          <w:b w:val="0"/>
          <w:sz w:val="19"/>
        </w:rPr>
        <w:t>No exclusions or red flags. Invests in conventional defence industry (allowed under SEB policy); sustainability is not a priority.</w:t>
      </w:r>
    </w:p>
    <w:p>
      <w:pPr>
        <w:spacing w:before="40" w:after="60"/>
      </w:pPr>
      <w:r>
        <w:rPr>
          <w:b w:val="0"/>
          <w:color w:val="667085"/>
          <w:sz w:val="16"/>
        </w:rPr>
        <w:t>SEB policies applied: Policy on Sustainability Considerations in Investments (SEB AB); Arms and Defence sector policy; Environmental Policy on Climate, Nature and Water (thematic); Social and Human Rights Policy (thematic); Governance expectations in sector policies (anti-corruption, tax, reporting)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10</w:t>
        <w:tab/>
      </w:r>
      <w:r>
        <w:rPr>
          <w:b/>
          <w:color w:val="12355B"/>
          <w:sz w:val="28"/>
        </w:rPr>
        <w:t>Sources</w:t>
      </w:r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1.</w:t>
        <w:tab/>
      </w:r>
      <w:hyperlink r:id="rId12">
        <w:r>
          <w:rPr>
            <w:color w:val="2A78D6"/>
            <w:sz w:val="17"/>
          </w:rPr>
          <w:t xml:space="preserve">VIK - Interim report 6M 2026 (unaudited), p. 10, 17-18,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2.</w:t>
        <w:tab/>
      </w:r>
      <w:hyperlink r:id="rId13">
        <w:r>
          <w:rPr>
            <w:color w:val="2A78D6"/>
            <w:sz w:val="17"/>
          </w:rPr>
          <w:t xml:space="preserve">VIK - Interim report 6M 2026 (unaudited), p. 9-10, 17-18,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3.</w:t>
        <w:tab/>
      </w:r>
      <w:hyperlink r:id="rId14">
        <w:r>
          <w:rPr>
            <w:color w:val="2A78D6"/>
            <w:sz w:val="17"/>
          </w:rPr>
          <w:t xml:space="preserve">VIK - Interim report 6M 2026 (unaudited), p. 20-21,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4.</w:t>
        <w:tab/>
      </w:r>
      <w:hyperlink r:id="rId15">
        <w:r>
          <w:rPr>
            <w:color w:val="2A78D6"/>
            <w:sz w:val="17"/>
          </w:rPr>
          <w:t xml:space="preserve">VIK - Interim report 6M 2026 (unaudited), p. 4, 11,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5.</w:t>
        <w:tab/>
      </w:r>
      <w:hyperlink r:id="rId16">
        <w:r>
          <w:rPr>
            <w:color w:val="2A78D6"/>
            <w:sz w:val="17"/>
          </w:rPr>
          <w:t xml:space="preserve">VIK - Annual report 2025 (audited), p. 5, 9,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6.</w:t>
        <w:tab/>
      </w:r>
      <w:hyperlink r:id="rId12">
        <w:r>
          <w:rPr>
            <w:color w:val="2A78D6"/>
            <w:sz w:val="17"/>
          </w:rPr>
          <w:t xml:space="preserve">VIK - Interim report 6M 2026 (unaudited), p. 10,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7.</w:t>
        <w:tab/>
      </w:r>
      <w:hyperlink r:id="rId17">
        <w:r>
          <w:rPr>
            <w:color w:val="2A78D6"/>
            <w:sz w:val="17"/>
          </w:rPr>
          <w:t xml:space="preserve">VIK - Interim report 6M 2026 (unaudited), p. 8, 11,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8.</w:t>
        <w:tab/>
      </w:r>
      <w:hyperlink r:id="rId18">
        <w:r>
          <w:rPr>
            <w:color w:val="2A78D6"/>
            <w:sz w:val="17"/>
          </w:rPr>
          <w:t xml:space="preserve">VIK - Annual report 2025 (audited), p. 7,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9.</w:t>
        <w:tab/>
      </w:r>
      <w:hyperlink r:id="rId16">
        <w:r>
          <w:rPr>
            <w:color w:val="2A78D6"/>
            <w:sz w:val="17"/>
          </w:rPr>
          <w:t xml:space="preserve">VIK - Annual report 2025 (audited), p. 5, 8,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10.</w:t>
        <w:tab/>
      </w:r>
      <w:hyperlink r:id="rId19">
        <w:r>
          <w:rPr>
            <w:color w:val="2A78D6"/>
            <w:sz w:val="17"/>
          </w:rPr>
          <w:t xml:space="preserve">VIK - Interim report 6M 2025, p. 3, 2025-08-25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11.</w:t>
        <w:tab/>
      </w:r>
      <w:hyperlink r:id="rId20">
        <w:r>
          <w:rPr>
            <w:color w:val="2A78D6"/>
            <w:sz w:val="17"/>
          </w:rPr>
          <w:t xml:space="preserve">VIK - Annual report 2025 (audited), p. 22,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12.</w:t>
        <w:tab/>
      </w:r>
      <w:hyperlink r:id="rId14">
        <w:r>
          <w:rPr>
            <w:color w:val="2A78D6"/>
            <w:sz w:val="17"/>
          </w:rPr>
          <w:t xml:space="preserve">VIK - Interim report 6M 2026 (unaudited), p. 20,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13.</w:t>
        <w:tab/>
      </w:r>
      <w:hyperlink r:id="rId16">
        <w:r>
          <w:rPr>
            <w:color w:val="2A78D6"/>
            <w:sz w:val="17"/>
          </w:rPr>
          <w:t xml:space="preserve">VIK - Annual report 2025 (audited), p. 5, 8-9,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14.</w:t>
        <w:tab/>
      </w:r>
      <w:hyperlink r:id="rId22">
        <w:r>
          <w:rPr>
            <w:color w:val="2A78D6"/>
            <w:sz w:val="17"/>
          </w:rPr>
          <w:t xml:space="preserve">VIK - Annual report 2025 (audited), p. 14,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15.</w:t>
        <w:tab/>
      </w:r>
      <w:hyperlink r:id="rId23">
        <w:r>
          <w:rPr>
            <w:color w:val="2A78D6"/>
            <w:sz w:val="17"/>
          </w:rPr>
          <w:t xml:space="preserve">VIK - Interim report 6M 2025, p. 5, 2025-08-25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16.</w:t>
        <w:tab/>
      </w:r>
      <w:hyperlink r:id="rId17">
        <w:r>
          <w:rPr>
            <w:color w:val="2A78D6"/>
            <w:sz w:val="17"/>
          </w:rPr>
          <w:t xml:space="preserve">VIK - Interim report 6M 2026 (unaudited), p. 8,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17.</w:t>
        <w:tab/>
      </w:r>
      <w:hyperlink r:id="rId24">
        <w:r>
          <w:rPr>
            <w:color w:val="2A78D6"/>
            <w:sz w:val="17"/>
          </w:rPr>
          <w:t xml:space="preserve">VIK - Interim report 6M 2026 (unaudited), p. 17,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18.</w:t>
        <w:tab/>
      </w:r>
      <w:hyperlink r:id="rId25">
        <w:r>
          <w:rPr>
            <w:color w:val="2A78D6"/>
            <w:sz w:val="17"/>
          </w:rPr>
          <w:t xml:space="preserve">VIK - Annual report 2025 (audited), p. 11, 13,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19.</w:t>
        <w:tab/>
      </w:r>
      <w:hyperlink r:id="rId17">
        <w:r>
          <w:rPr>
            <w:color w:val="2A78D6"/>
            <w:sz w:val="17"/>
          </w:rPr>
          <w:t xml:space="preserve">VIK - Interim report 6M 2026 (unaudited), p. 8, 17-18,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20.</w:t>
        <w:tab/>
      </w:r>
      <w:hyperlink r:id="rId15">
        <w:r>
          <w:rPr>
            <w:color w:val="2A78D6"/>
            <w:sz w:val="17"/>
          </w:rPr>
          <w:t xml:space="preserve">VIK - Interim report 6M 2026 (unaudited), p. 4,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21.</w:t>
        <w:tab/>
      </w:r>
      <w:hyperlink r:id="rId26">
        <w:r>
          <w:rPr>
            <w:color w:val="2A78D6"/>
            <w:sz w:val="17"/>
          </w:rPr>
          <w:t xml:space="preserve">VIK - Interim report 6M 2026 (unaudited), p. 6,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22.</w:t>
        <w:tab/>
      </w:r>
      <w:hyperlink r:id="rId27">
        <w:r>
          <w:rPr>
            <w:color w:val="2A78D6"/>
            <w:sz w:val="17"/>
          </w:rPr>
          <w:t xml:space="preserve">VIK - Interim report 6M 2026 (unaudited), p. 21,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23.</w:t>
        <w:tab/>
      </w:r>
      <w:hyperlink r:id="rId30">
        <w:r>
          <w:rPr>
            <w:color w:val="2A78D6"/>
            <w:sz w:val="17"/>
          </w:rPr>
          <w:t xml:space="preserve">SEB Arms and Defence sector policy (2026-04-23), p. 5, 2026-04-23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24.</w:t>
        <w:tab/>
      </w:r>
      <w:hyperlink r:id="rId31">
        <w:r>
          <w:rPr>
            <w:color w:val="2A78D6"/>
            <w:sz w:val="17"/>
          </w:rPr>
          <w:t xml:space="preserve">VIK - Interim report 6M 2026 (unaudited), p. 13-14,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25.</w:t>
        <w:tab/>
      </w:r>
      <w:hyperlink r:id="rId32">
        <w:r>
          <w:rPr>
            <w:color w:val="2A78D6"/>
            <w:sz w:val="17"/>
          </w:rPr>
          <w:t xml:space="preserve">VIK - Interim report 6M 2026 (unaudited), p. 14,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26.</w:t>
        <w:tab/>
      </w:r>
      <w:hyperlink r:id="rId33">
        <w:r>
          <w:rPr>
            <w:color w:val="2A78D6"/>
            <w:sz w:val="17"/>
          </w:rPr>
          <w:t xml:space="preserve">VIK - Interim report 6M 2026 (unaudited), p. 35,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27.</w:t>
        <w:tab/>
      </w:r>
      <w:hyperlink r:id="rId30">
        <w:r>
          <w:rPr>
            <w:color w:val="2A78D6"/>
            <w:sz w:val="17"/>
          </w:rPr>
          <w:t xml:space="preserve">SEB Policy on Sustainability Considerations in Investments (2026-04-15), 2026-04-15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28.</w:t>
        <w:tab/>
      </w:r>
      <w:hyperlink r:id="rId34">
        <w:r>
          <w:rPr>
            <w:color w:val="2A78D6"/>
            <w:sz w:val="17"/>
          </w:rPr>
          <w:t xml:space="preserve">VIK - Annual report 2025 (audited), p. 8, 2026</w:t>
        </w:r>
      </w:hyperlink>
    </w:p>
    <w:p>
      <w:pPr>
        <w:spacing w:before="40" w:after="60"/>
      </w:pPr>
      <w:r>
        <w:rPr>
          <w:b w:val="0"/>
          <w:color w:val="667085"/>
          <w:sz w:val="16"/>
        </w:rPr>
        <w:t>Report prepared from public sources. Figures are as published by the issuer; small numbers next to the text point to the source list.</w:t>
      </w:r>
    </w:p>
    <w:sectPr w:rsidR="00FC693F" w:rsidRPr="0006063C" w:rsidSect="00034616">
      <w:headerReference w:type="default" r:id="rId9"/>
      <w:footerReference w:type="default" r:id="rId10"/>
      <w:footerReference w:type="first" r:id="rId11"/>
      <w:pgSz w:w="11906" w:h="16838"/>
      <w:pgMar w:top="1020" w:right="1134" w:bottom="1020" w:left="1134" w:header="510" w:footer="454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Valstybės investicinis kapitalas (VIK) · 6M2026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Valstybės investicinis kapitalas (VIK) · 6M2026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bottom w:val="single" w:sz="4" w:color="D5DCE4" w:space="4"/>
      </w:pBdr>
      <w:tabs>
        <w:tab w:pos="9638" w:val="right"/>
      </w:tabs>
    </w:pPr>
    <w:r>
      <w:rPr>
        <w:b/>
        <w:color w:val="12355B"/>
        <w:sz w:val="16"/>
      </w:rPr>
      <w:t>Valstybės investicinis kapitalas (VIK)</w:t>
    </w:r>
    <w:r>
      <w:rPr>
        <w:b w:val="0"/>
        <w:color w:val="667085"/>
        <w:sz w:val="16"/>
      </w:rPr>
      <w:tab/>
      <w:t>Issuer review · 6M2026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64" w:lineRule="auto"/>
    </w:pPr>
    <w:rPr>
      <w:rFonts w:ascii="Calibri" w:hAnsi="Calibri" w:eastAsia="Calibri"/>
      <w:color w:val="1B243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footer" Target="footer2.xml"/><Relationship Id="rId12" Type="http://schemas.openxmlformats.org/officeDocument/2006/relationships/hyperlink" Target="https://nasdaqbaltic.com/market/upload/reports/vika/2026_q2_en_esef.pdf#page=10" TargetMode="External"/><Relationship Id="rId13" Type="http://schemas.openxmlformats.org/officeDocument/2006/relationships/hyperlink" Target="https://nasdaqbaltic.com/market/upload/reports/vika/2026_q2_en_esef.pdf#page=9" TargetMode="External"/><Relationship Id="rId14" Type="http://schemas.openxmlformats.org/officeDocument/2006/relationships/hyperlink" Target="https://nasdaqbaltic.com/market/upload/reports/vika/2026_q2_en_esef.pdf#page=20" TargetMode="External"/><Relationship Id="rId15" Type="http://schemas.openxmlformats.org/officeDocument/2006/relationships/hyperlink" Target="https://nasdaqbaltic.com/market/upload/reports/vika/2026_q2_en_esef.pdf#page=4" TargetMode="External"/><Relationship Id="rId16" Type="http://schemas.openxmlformats.org/officeDocument/2006/relationships/hyperlink" Target="https://nasdaqbaltic.com/market/upload/reports/vika/2025_ar_en_esef.pdf#page=5" TargetMode="External"/><Relationship Id="rId17" Type="http://schemas.openxmlformats.org/officeDocument/2006/relationships/hyperlink" Target="https://nasdaqbaltic.com/market/upload/reports/vika/2026_q2_en_esef.pdf#page=8" TargetMode="External"/><Relationship Id="rId18" Type="http://schemas.openxmlformats.org/officeDocument/2006/relationships/hyperlink" Target="https://nasdaqbaltic.com/market/upload/reports/vika/2025_ar_en_esef.pdf#page=7" TargetMode="External"/><Relationship Id="rId19" Type="http://schemas.openxmlformats.org/officeDocument/2006/relationships/hyperlink" Target="https://nasdaqbaltic.com/market/upload/reports/vika/2025_q2_en_con.pdf#page=3" TargetMode="External"/><Relationship Id="rId20" Type="http://schemas.openxmlformats.org/officeDocument/2006/relationships/hyperlink" Target="https://nasdaqbaltic.com/market/upload/reports/vika/2025_ar_en_esef.pdf#page=22" TargetMode="External"/><Relationship Id="rId21" Type="http://schemas.openxmlformats.org/officeDocument/2006/relationships/image" Target="media/image1.png"/><Relationship Id="rId22" Type="http://schemas.openxmlformats.org/officeDocument/2006/relationships/hyperlink" Target="https://nasdaqbaltic.com/market/upload/reports/vika/2025_ar_en_esef.pdf#page=14" TargetMode="External"/><Relationship Id="rId23" Type="http://schemas.openxmlformats.org/officeDocument/2006/relationships/hyperlink" Target="https://nasdaqbaltic.com/market/upload/reports/vika/2025_q2_en_con.pdf#page=5" TargetMode="External"/><Relationship Id="rId24" Type="http://schemas.openxmlformats.org/officeDocument/2006/relationships/hyperlink" Target="https://nasdaqbaltic.com/market/upload/reports/vika/2026_q2_en_esef.pdf#page=17" TargetMode="External"/><Relationship Id="rId25" Type="http://schemas.openxmlformats.org/officeDocument/2006/relationships/hyperlink" Target="https://nasdaqbaltic.com/market/upload/reports/vika/2025_ar_en_esef.pdf#page=11" TargetMode="External"/><Relationship Id="rId26" Type="http://schemas.openxmlformats.org/officeDocument/2006/relationships/hyperlink" Target="https://nasdaqbaltic.com/market/upload/reports/vika/2026_q2_en_esef.pdf#page=6" TargetMode="External"/><Relationship Id="rId27" Type="http://schemas.openxmlformats.org/officeDocument/2006/relationships/hyperlink" Target="https://nasdaqbaltic.com/market/upload/reports/vika/2026_q2_en_esef.pdf#page=21" TargetMode="External"/><Relationship Id="rId28" Type="http://schemas.openxmlformats.org/officeDocument/2006/relationships/hyperlink" Target="https://news.google.com/rss/articles/CBMiuAJBVV95cUxNYlhuaGpJMk9Od0lWNTRnZUFSSEZsQXd4eUIxT1d0U05aX2tZbnhMaWRPRXJRSlM3Ykp0OE9lS0VCeWJMaTlWQlR3aEd2QUpCbUtXZWpFRUo0Ul9kWFJHb2lYWmJtVGxubWR5TWtOelBCUzU5czF5d1NrMTk2UGYzQnNuVU1KcDNwVERRcG1Lc2JpZVlFN3EtTGRON09JMkhBYzRPQzd4MkVIQm1NUW9RTkVOVVBONld2Z2FsOWllc2Y0WEJ5dDNXdW9xcXBMdTl2dUV0SnM1R1lmemxVekFPWDlYaHFIZXNJT3o2YlBId3JjSnV6TFdZSUNlNzR4NmhQMzVPa29LLXYtdnNVSS12N3l6clVlenVENlFuekpSRzVYMDZ5T3dxR1NERWJnSnBNUklJZkx1SkY?oc=5" TargetMode="External"/><Relationship Id="rId29" Type="http://schemas.openxmlformats.org/officeDocument/2006/relationships/hyperlink" Target="https://news.google.com/rss/articles/CBMiugFBVV95cUxNcnNrWmpNZ1ZaRVh5Ym45UWpkaUYybjJKX0ZFQkJhZnBJb192cXNFdXNaT0NHVTI1eWhqWGxsNjJxUGV0azc2am9vTFRJLXZ2V1BzX241N0ZqSTB0Sl9ISmhLUjE3ZGRnY183MFVYYVhpR1BFeXJOaDlncWh5V1ZLa09HdkpPcVh4TWxacXBCajkwdDhMbE0xbVZrNXYzdEV0V0o5a3JWUlB0eGp2UlItcUR2LVlaSVEtUHc?oc=5" TargetMode="External"/><Relationship Id="rId30" Type="http://schemas.openxmlformats.org/officeDocument/2006/relationships/hyperlink" Target="https://sebgroup.com/sustainability/our-sustainability-strategy/policies" TargetMode="External"/><Relationship Id="rId31" Type="http://schemas.openxmlformats.org/officeDocument/2006/relationships/hyperlink" Target="https://nasdaqbaltic.com/market/upload/reports/vika/2026_q2_en_esef.pdf#page=13" TargetMode="External"/><Relationship Id="rId32" Type="http://schemas.openxmlformats.org/officeDocument/2006/relationships/hyperlink" Target="https://nasdaqbaltic.com/market/upload/reports/vika/2026_q2_en_esef.pdf#page=14" TargetMode="External"/><Relationship Id="rId33" Type="http://schemas.openxmlformats.org/officeDocument/2006/relationships/hyperlink" Target="https://nasdaqbaltic.com/market/upload/reports/vika/2026_q2_en_esef.pdf#page=35" TargetMode="External"/><Relationship Id="rId34" Type="http://schemas.openxmlformats.org/officeDocument/2006/relationships/hyperlink" Target="https://nasdaqbaltic.com/market/upload/reports/vika/2025_ar_en_esef.pdf#page=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