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Socialinė nauda – šalies saugumas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finansuoja Lietuvos gynybos ir saugumo pramonę, pvz., amunicijos gamyklą Baisogaloje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Investuodami prisidedame prie šalies saugumo – tai priskiriame ESG „S“ (socialinei) daliai (savininko vertinimas, 2026-10-23).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Pati VIK nurodo, kad tvarumas nėra jos pagrindinis tikslas, o prioritetas – gynyba ir saugumas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