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Ignitis grupė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S&amp;P BBB+ (stable), 2026-07-28; Moody's Baa1 (stable), 2026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Q3 2026 interim report - 2026-11-11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Kredito kokybė stabili: BBB+ / Baa1 reitingai, svertas 3,49x – 3–4x tikslo ribose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Pelnas silpnesnis, bet 2026 m. prognozė palikta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Turimai obligacijai XS1646530565 taikomas 2026-10-19 emitento supirkimo pasiūlymas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Koreguota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306,6 mln. EUR</w:t>
            </w:r>
          </w:p>
          <w:p>
            <w:r>
              <w:rPr>
                <w:color w:val="5F6B7A"/>
                <w:sz w:val="16"/>
              </w:rPr>
              <w:t>▲ 1,9 %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Koreguotas 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115,8 mln. EUR</w:t>
            </w:r>
          </w:p>
          <w:p>
            <w:r>
              <w:rPr>
                <w:color w:val="5F6B7A"/>
                <w:sz w:val="16"/>
              </w:rPr>
              <w:t>▼ 20,8 %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1 925,3 mln. EUR</w:t>
            </w:r>
          </w:p>
          <w:p>
            <w:r>
              <w:rPr>
                <w:color w:val="5F6B7A"/>
                <w:sz w:val="16"/>
              </w:rPr>
              <w:t>▲ 19,6 %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3,49x</w:t>
            </w:r>
          </w:p>
          <w:p>
            <w:r>
              <w:rPr>
                <w:color w:val="5F6B7A"/>
                <w:sz w:val="16"/>
              </w:rPr>
              <w:t>▲ 0,5x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Rezultatai pagal planą:</w:t>
      </w:r>
      <w:r>
        <w:rPr>
          <w:b w:val="0"/>
        </w:rPr>
        <w:t xml:space="preserve"> 6 mėn. koreguota EBITDA – 306,6 mln. EUR, 1,9 % daugiau. Augo tinklai ir klientų segmentas; žalioji gamyba sumažėjo iki 149,2 mln. EUR nuo 166,6 mln.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2026 m. prognozė 550–600 mln. EUR palikta, maždaug pusė jos jau pasiekta (51–56 %)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Skola kontroliuojama:</w:t>
      </w:r>
      <w:r>
        <w:rPr>
          <w:b w:val="0"/>
        </w:rPr>
        <w:t xml:space="preserve"> grynoji skola 1 925,3 mln. EUR, nuo metų pradžios beveik nepakito (+0,7 %). Svertas – 3,49x grynoji skola / EBITDA. Atsilieka vienas rodiklis: FFO / grynoji skola 22,2 %, tikslas – ne mažiau 23 %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Reitingai stabilūs:</w:t>
      </w:r>
      <w:r>
        <w:rPr>
          <w:b w:val="0"/>
        </w:rPr>
        <w:t xml:space="preserve"> S&amp;P BBB+ (stabili, patvirtinta 2026-07-28) ir Moody's Baa1 (stabili, pirmas reitingas 2026 m.)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Reikia sprendimo dėl turimos obligacijos:</w:t>
      </w:r>
      <w:r>
        <w:rPr>
          <w:b w:val="0"/>
        </w:rPr>
        <w:t xml:space="preserve"> 2026-10-19 „Ignitis“ pasiūlė supirkti XS1646530565 (2,000 %, išpirkimas 2027-07-14). Supirkimas finansuojamas nauja 300 mln. EUR žaliąja obligacija, 4,500 %, iki 2031 m.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Silpnoji vieta – pelnas:</w:t>
      </w:r>
      <w:r>
        <w:rPr>
          <w:b w:val="0"/>
        </w:rPr>
        <w:t xml:space="preserve"> koreguotas grynasis pelnas sumažėjo 20,8 % iki 115,8 mln. EUR. Kapitalo grąža (koreguota ROCE, 12 mėn.) nukrito iki 6,7 % nuo 8,6 %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green notes 2027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1.875% green notes 2028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1,875 %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1 298,0*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1 497,5*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15,4 %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 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527,9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546,1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300,8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306,6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1,9 %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532,7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482,1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262,5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303,5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15,6 %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Koreguotas 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277,5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225,7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146,2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115,8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20,8 %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276,2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163,9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111,4*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113,2*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1,6 %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Investicijos,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812,0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720,3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343,2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306,1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10,8 %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251,4*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11,3 %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Laisvieji pinigų srautai,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64,0*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5,3*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91,7 %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1 612,3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1 912,0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1 609,9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1 925,3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19,6 %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EBITDA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3,05x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3,50x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2,99x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3,49x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grynoji skola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29,7 %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21,0 %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29,8 %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22,2 %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7,6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 ROCE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9,0 %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6,7 %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1,9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2 436,8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2 494,7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2 492,0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2 636,1*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5 706,0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6 278,9*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5 897,3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6 339,2*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7,5 %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akcijai,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1,33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1,366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0,683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0,704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3,1 %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Įrengta žalioji galia, GW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20,0 % vs 6M2025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reikia patikrinti originale;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l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/>
        </w:rPr>
        <w:t>Tinklai:</w:t>
      </w:r>
      <w:r>
        <w:rPr>
          <w:b w:val="0"/>
        </w:rPr>
        <w:t xml:space="preserve"> investicijos 208,3 mln. EUR (+26,1 %), 68 % visų investicijų; segmento koreguota EBITDA 147,3 mln. EUR (132,6 mln.)</w:t>
      </w:r>
      <w:hyperlink r:id="rId30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Žalioji generacija:</w:t>
      </w:r>
      <w:r>
        <w:rPr>
          <w:b w:val="0"/>
        </w:rPr>
        <w:t xml:space="preserve"> įrengta 2,1 GW, statoma 0,6 GW (0,7 GW po Tume BESS investicinio sprendimo), užtikrinta 3,4 GW</w:t>
      </w:r>
      <w:hyperlink r:id="rId1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mažėjo dėl silpnesnio vėjo I–II ketv. ir mažesnės apsidraudimo kainos (130 → 82 EUR/MWh)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Rezervinė galia:</w:t>
      </w:r>
      <w:r>
        <w:rPr>
          <w:b w:val="0"/>
        </w:rPr>
        <w:t xml:space="preserve"> koreguota EBITDA 17,9 mln. EUR (29,1 mln., −38 %); balansavimo rinka tampa konkurencingesnė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Klientai ir sprendimai:</w:t>
      </w:r>
      <w:r>
        <w:rPr>
          <w:b w:val="0"/>
        </w:rPr>
        <w:t xml:space="preserve"> EBITDA 0,2 mln. EUR (−27,7 mln.); padėjo didesni kiekiai šaltą žiemą ir vienkartiniai didmeninės dujų prekybos sandoriai I ketv.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Gaminančių vartotojų poveikis 2025 m. – apie −30 mln. EUR EBITDA, 2026 m. tikimasi kiek didesnio, 60–70 % kompensuos naujas reguliavimas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Projektai ir sandoriai:</w:t>
      </w:r>
      <w:r>
        <w:rPr>
          <w:b w:val="0"/>
        </w:rPr>
        <w:t xml:space="preserve"> parduota 49 % Vilniaus KJ (Quaero Capital, 2026 m. kovas); statomos 399 MW / 798 MWh baterijų sistemos; Kruonio HAE 5-asis blokas ~80 % baigtas; 2026-08-11 pradėta duomenų centrų partnerio paieška</w:t>
      </w:r>
      <w:hyperlink r:id="rId32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Sauga:</w:t>
      </w:r>
      <w:r>
        <w:rPr>
          <w:b w:val="0"/>
        </w:rPr>
        <w:t xml:space="preserve"> 2026 m. vasarį žuvo rangovo darbuotojas</w:t>
      </w:r>
      <w:hyperlink r:id="rId3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6 mėn. pajamos 1 497,5 mln. EUR (+15,4 %), EBITDA 303,5 mln. EUR (262,5 mln.), grynasis pelnas 113,2 mln. EUR (111,4 mln.)</w:t>
      </w:r>
      <w:hyperlink r:id="rId18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FFO 251,4 mln. EUR (+11,3 %), laisvieji pinigų srautai 5,3 mln. EUR (64,0 mln.); investicijos 306,1 mln. EUR (343,2 mln., −10,8 %)</w:t>
      </w:r>
      <w:hyperlink r:id="rId2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2025 m.:</w:t>
      </w:r>
      <w:r>
        <w:rPr>
          <w:b w:val="0"/>
        </w:rPr>
        <w:t xml:space="preserve"> koreguota EBITDA 546,1 mln. EUR (+3,4 %), koreguotas grynasis pelnas 225,7 mln. EUR (−18,7 %), grynoji skola padidėjo 18,6 % iki 1 912,0 mln. EUR, FFO / grynoji skola 21,0 % (2024 m. – 29,7 %)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m. koreguota EBITDA 550–600 mln. EUR (paskelbta 2026-02-25)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 mėn. – 306,6 mln. EUR; prognozė patvirtinta 2026-08-12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Pagal planą: per 6 mėn. pasiekta 51–56 % intervalo. Augo tinklai bei klientai ir sprendimai; žalioji gamyba mažėjo dėl silpnesnio vėjo ir mažesnės apsidraudimo kainos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m. investicijos 590–690 mln. EUR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 mėn. – 306,1 mln. EUR (44–52 % intervalo)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Pagal planą: 6 mėn. investicijos 306,1 mln. EUR (−10,8 % per metus); 68 % – į tinklus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Strategija 2025–2028: investicijos 3,0–4,0 mlrd. EUR, 2028 m. koreguota EBITDA 600–680 mln. EUR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 strategija 2026–2029: investicijos 2,5–3,0 mlrd. EUR, 2029 m. EBITDA 640–700 mln. EUR (investicijų apimtis sumažinta)</w:t>
            </w:r>
            <w:hyperlink r:id="rId34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Pakeista: naujas 2026–2029 m. planas sumažina investicijas iki 2,5–3,0 mlrd. EUR, o EBITDA tikslą 2029 m. pakelia iki 640–700 mln. EUR. Priežastis peržiūrėtuose šaltiniuose nenurodyta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grynoji skola ≥23 % (2026–2029)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pab. – 21,0 %, 2026-06-30 (12 mėn.) – 22,2 %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Gerėja, bet dar žemiau tikslo: 21,0 % → 22,2 %, nes FFO augo 11,3 %, o grynoji skola beveik nesikeitė (+0,7 %)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E7E5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koreguota EBITDA 3–4x; reitingas BBB ar aukštesnis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3,49x; S&amp;P BBB+, Moody's Baa1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Įvykdyta: svertas 3,49x – intervalo viduryje; grynoji skola +0,7 % nuo 2025 m. pabaigos; reitingai stabilūs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akcijai auga ≥3 % per metus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1,366 EUR (+3,0 %); 2026 m. I pusm. 0,704 EUR (+3,1 %)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Įvykdyta: +3,0 % už 2025 m. ir +3,1 % už 2026 m. I pusm., nors koreguotas pelnas sumažėjo 20,8 %, o laisvieji pinigų srautai (5,3 mln. EUR) dividendų nepadengia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Žalioji galia 2,8–3,2 GW iki 2029 m.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Įrengta 2,1 GW, statoma 0,7 GW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5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Vykdoma: 2,1 GW įrengta + 0,7 GW statoma = 2,8 GW, t. y. tikslo apatinė riba (apskaičiuota įrankio)</w:t>
            </w:r>
            <w:hyperlink r:id="rId35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akcijos (IGN1L) ir trys obligacijos (2027, 2028, 2030). Obligacijos neužtikrintos, joms taikomas emitento reitingas BBB+ (S&amp;P)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Obligacijų turėtojams:</w:t>
      </w:r>
      <w:r>
        <w:rPr>
          <w:b w:val="0"/>
        </w:rPr>
        <w:t xml:space="preserve"> sverto rodiklis (3,49x) – strateginiame 3–4x intervale, reitingai stabilūs; FFO / grynoji skola (22,2 %) dar žemiau ≥23 % tikslo. Investicijos daugiausia į reguliuojamus tinklus</w:t>
      </w:r>
      <w:hyperlink r:id="rId30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XS1646530565:</w:t>
      </w:r>
      <w:r>
        <w:rPr>
          <w:b w:val="0"/>
        </w:rPr>
        <w:t xml:space="preserve"> dėl 2026-10-19 supirkimo pasiūlymo reikia sprendimo (dalyvauti ar laikyti iki 2027-07-14). Pasiūlymo sąlygos ir terminas – emitento „Tender Offer Launch Announcement“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Akcininkams:</w:t>
      </w:r>
      <w:r>
        <w:rPr>
          <w:b w:val="0"/>
        </w:rPr>
        <w:t xml:space="preserve"> I pusm. dividendai 0,704 EUR (+3,1 %), koreguotas pelnas mažėja (−20,8 %). Laisvieji pinigų srautai 5,3 mln. EUR – investicijos ir dividendai finansuojami ir skola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finansinė būklė, palyginti su 2025 m. pabaiga, iš esmės nepakito; kredito rodikliai atitinka strategijos ribas, reitingai stabilūs. Stebėti: 9 mėn. ataskaitą (2026-11-11), vėjo ir kainų poveikį Žaliajai generacijai, FFO / skolos rodiklio grįžimą į ≥23 %.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Ginklų, tabako ir lošimų veiklos nėra.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Anglies generacijos nėra, naftos ir dujų žvalgybos nėra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Turi dujomis kūrenamą Elektrėnų kompleksą (rezervinė galia) ir tiekia dujas klientams – SEB iškastinio kuro politika tokios veiklos nedraudžia (ribojama anglis &gt;5 % pajamų ir nauja žvalgyba).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Raudonų signalų (UNGC, OECD pažeidimų) viešuose šaltiniuose ir naujienų paieškoje nerasta (2026-10-22).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Ignitis skelbia, kad laikosi UN Global Compact principų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Nerasta EU, UN, US OFAC, UK konsoliduotuose sankcijų sąrašuose (automatinė patikra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naujienų paieška (lietuvių, latvių, estų ir anglų žiniasklaida, paskutinės 30 d., 2026-10-22) neigiamų naujienų nerado.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Pagrindinė veikla – žalioji generacija (įrengta 2,1 GW, statoma 0,6 GW) ir elektros tinklai</w:t>
      </w:r>
      <w:hyperlink r:id="rId18">
        <w:r>
          <w:rPr>
            <w:color w:val="2A78D6"/>
            <w:vertAlign w:val="superscript"/>
            <w:sz w:val="16"/>
          </w:rPr>
          <w:t xml:space="preserve">9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Žaliosios obligacijos ir nauja ES žaliųjų obligacijų standarto (EuGB) obligacija</w:t>
      </w:r>
      <w:hyperlink r:id="rId17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ES taksonomiją atitinkančios investicijos 2025 m. – 84,7 %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SBTi patvirtino tikslus pagal 1,5 °C trajektoriją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Nulinė emisija iki 2050 m. ar anksčiau</w:t>
      </w:r>
      <w:hyperlink r:id="rId36">
        <w:r>
          <w:rPr>
            <w:color w:val="2A78D6"/>
            <w:vertAlign w:val="superscript"/>
            <w:sz w:val="16"/>
          </w:rPr>
          <w:t xml:space="preserve">32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397"/>
      </w:pPr>
      <w:r>
        <w:rPr>
          <w:b/>
          <w:color w:val="333333"/>
          <w:sz w:val="19"/>
        </w:rPr>
        <w:t>Reikšmingų geltonų signalų nėra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 JT Pasauliniu susitarimu susijusių ginčų nerasta.</w:t>
      </w:r>
    </w:p>
    <w:p>
      <w:pPr>
        <w:spacing w:after="0"/>
        <w:ind w:left="397"/>
      </w:pPr>
      <w:r>
        <w:rPr>
          <w:b/>
          <w:color w:val="333333"/>
          <w:sz w:val="19"/>
        </w:rPr>
        <w:t>Verta žinoti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2026 m. vasarį žuvo rangovo darbuotojas</w:t>
      </w:r>
      <w:hyperlink r:id="rId33">
        <w:r>
          <w:rPr>
            <w:color w:val="2A78D6"/>
            <w:vertAlign w:val="superscript"/>
            <w:sz w:val="16"/>
          </w:rPr>
          <w:t xml:space="preserve">24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1 apimties emisijos 2025 m. išaugo 54,7 % dėl didesnės dujų generacijos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Sauga valdoma pagal ISO 45001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investicijų politika</w:t>
      </w:r>
      <w:hyperlink r:id="rId38">
        <w:r>
          <w:rPr>
            <w:color w:val="2A78D6"/>
            <w:vertAlign w:val="superscript"/>
            <w:sz w:val="16"/>
          </w:rPr>
          <w:t xml:space="preserve">34</w:t>
        </w:r>
      </w:hyperlink>
      <w:r>
        <w:rPr>
          <w:b w:val="0"/>
          <w:color w:val="333333"/>
          <w:sz w:val="19"/>
        </w:rPr>
        <w:t>, elektros ir atsinaujinančios energetikos politika, nes žalioji gamyba ir tinklai sudaro daugiau nei 15 % pajamų</w:t>
      </w:r>
      <w:hyperlink r:id="rId39">
        <w:r>
          <w:rPr>
            <w:color w:val="2A78D6"/>
            <w:vertAlign w:val="superscript"/>
            <w:sz w:val="16"/>
          </w:rPr>
          <w:t xml:space="preserve">35</w:t>
        </w:r>
      </w:hyperlink>
      <w:r>
        <w:rPr>
          <w:b w:val="0"/>
          <w:color w:val="333333"/>
          <w:sz w:val="19"/>
        </w:rPr>
        <w:t>, ir iškastinio kuro politika dėl dujų skirstymo, dujų tiekimo ir Elektrėnų rezervinių elektrinių.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Dujų pajamų dalis nerasta</w:t>
      </w:r>
      <w:hyperlink r:id="rId40">
        <w:r>
          <w:rPr>
            <w:color w:val="2A78D6"/>
            <w:vertAlign w:val="superscript"/>
            <w:sz w:val="16"/>
          </w:rPr>
          <w:t xml:space="preserve">36</w:t>
        </w:r>
      </w:hyperlink>
      <w:r>
        <w:rPr>
          <w:color w:val="2A78D6"/>
          <w:vertAlign w:val="superscript"/>
        </w:rPr>
        <w:t>,</w:t>
      </w:r>
      <w:hyperlink r:id="rId41">
        <w:r>
          <w:rPr>
            <w:color w:val="2A78D6"/>
            <w:vertAlign w:val="superscript"/>
            <w:sz w:val="16"/>
          </w:rPr>
          <w:t xml:space="preserve">37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Reikalavimai įvykdyti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Atskleistos 1–3 apimties emisijos (4,49 mln. t CO2e 2025 m.) ir SBTi patvirtinti 1,5 °C tikslai</w:t>
      </w:r>
      <w:hyperlink r:id="rId42">
        <w:r>
          <w:rPr>
            <w:color w:val="2A78D6"/>
            <w:vertAlign w:val="superscript"/>
            <w:sz w:val="16"/>
          </w:rPr>
          <w:t xml:space="preserve">38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14001 aplinkosaugos vadyba ESO, „Ignitis gamyboje“, „Ignitis“ bei Vilniaus ir Kauno kogeneracinėse jėgainėse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Anglies, durpių ar naftos ir dujų gavybos nėra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Lūkesčiai įvykdyti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45001 saugos vadyba, 2025 m. mirtinų nelaimingų atsitikimų nebuvo</w:t>
      </w:r>
      <w:hyperlink r:id="rId43">
        <w:r>
          <w:rPr>
            <w:color w:val="2A78D6"/>
            <w:vertAlign w:val="superscript"/>
            <w:sz w:val="16"/>
          </w:rPr>
          <w:t xml:space="preserve">39</w:t>
        </w:r>
      </w:hyperlink>
      <w:r>
        <w:rPr>
          <w:color w:val="2A78D6"/>
          <w:vertAlign w:val="superscript"/>
        </w:rPr>
        <w:t>,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Pasitikėjimo linija anoniminiams pranešimams</w:t>
      </w:r>
      <w:hyperlink r:id="rId44">
        <w:r>
          <w:rPr>
            <w:color w:val="2A78D6"/>
            <w:vertAlign w:val="superscript"/>
            <w:sz w:val="16"/>
          </w:rPr>
          <w:t xml:space="preserve">40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Antikorupcijos politika ir ISO 37001 sertifikatas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color w:val="2A78D6"/>
          <w:vertAlign w:val="superscript"/>
        </w:rPr>
        <w:t>,</w:t>
      </w:r>
      <w:hyperlink r:id="rId44">
        <w:r>
          <w:rPr>
            <w:color w:val="2A78D6"/>
            <w:vertAlign w:val="superscript"/>
            <w:sz w:val="16"/>
          </w:rPr>
          <w:t xml:space="preserve">40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JT Pasaulinis susitarimas</w:t>
      </w:r>
      <w:hyperlink r:id="rId42">
        <w:r>
          <w:rPr>
            <w:color w:val="2A78D6"/>
            <w:vertAlign w:val="superscript"/>
            <w:sz w:val="16"/>
          </w:rPr>
          <w:t xml:space="preserve">41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Integruota metinė ataskaita su klimato duomenimis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Biologinės įvairovės stebėsena ir poveikio mažinimo priemonės</w:t>
      </w:r>
      <w:hyperlink r:id="rId45">
        <w:r>
          <w:rPr>
            <w:color w:val="2A78D6"/>
            <w:vertAlign w:val="superscript"/>
            <w:sz w:val="16"/>
          </w:rPr>
          <w:t xml:space="preserve">42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Neskelbiamas įvardytas žmogaus teisių patikros procesas ir kiekybiniai biologinės įvairovės tikslai</w:t>
      </w:r>
      <w:hyperlink r:id="rId39">
        <w:r>
          <w:rPr>
            <w:color w:val="2A78D6"/>
            <w:vertAlign w:val="superscript"/>
            <w:sz w:val="16"/>
          </w:rPr>
          <w:t xml:space="preserve">43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bendrovė atitinka SEB politikų lūkesčius, raudonų signalų nėra.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Bendros ŠESD emisijos 2025 m. – 4,49 mln. t CO2e (+10,1 %)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Anglies intensyvumas (1+2 apimtis) 2026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 ketv. – 214 g CO2e/kWh (−12,8 %)</w:t>
      </w:r>
      <w:hyperlink r:id="rId33">
        <w:r>
          <w:rPr>
            <w:color w:val="2A78D6"/>
            <w:vertAlign w:val="superscript"/>
            <w:sz w:val="16"/>
          </w:rPr>
          <w:t xml:space="preserve">24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Taksonomiją atitinkančios investicijos – 84,7 %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SBTi patvirtinti 1,5 °C tikslai</w:t>
      </w:r>
      <w:hyperlink r:id="rId46">
        <w:r>
          <w:rPr>
            <w:color w:val="2A78D6"/>
            <w:vertAlign w:val="superscript"/>
            <w:sz w:val="16"/>
          </w:rPr>
          <w:t xml:space="preserve">44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Stiprus žaliasis profilis: 84,7 % taksonomiją atitinkančių investicijų ir SBTi patvirtinti tikslai. Verta stebėti: didesnę dujų generaciją 2025 m. ir rangovų saugą.</w:t>
      </w:r>
    </w:p>
    <w:p>
      <w:r>
        <w:rPr>
          <w:i/>
          <w:color w:val="5F6B7A"/>
          <w:sz w:val="16"/>
        </w:rPr>
        <w:t>Taikytos SEB politikos: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Credit ratings page,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5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6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7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8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9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20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21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2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3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4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5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6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7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8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30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8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31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32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3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18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22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0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4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12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5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0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32. </w:t>
      </w:r>
      <w:hyperlink r:id="rId36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33. </w:t>
      </w:r>
      <w:hyperlink r:id="rId37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34. </w:t>
      </w:r>
      <w:hyperlink r:id="rId38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35. </w:t>
      </w:r>
      <w:hyperlink r:id="rId39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36. </w:t>
      </w:r>
      <w:hyperlink r:id="rId40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37. </w:t>
      </w:r>
      <w:hyperlink r:id="rId41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38. </w:t>
      </w:r>
      <w:hyperlink r:id="rId42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39. </w:t>
      </w:r>
      <w:hyperlink r:id="rId43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40. </w:t>
      </w:r>
      <w:hyperlink r:id="rId44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41. </w:t>
      </w:r>
      <w:hyperlink r:id="rId42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42. </w:t>
      </w:r>
      <w:hyperlink r:id="rId45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43. </w:t>
      </w:r>
      <w:hyperlink r:id="rId39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44. </w:t>
      </w:r>
      <w:hyperlink r:id="rId46">
        <w:r>
          <w:rPr>
            <w:color w:val="2A78D6"/>
            <w:sz w:val="17"/>
          </w:rPr>
          <w:t xml:space="preserve">Integrated Annual Report 2025, p. 9, 2026-02-25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Ignitis grupė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gnitisgrupe.lt/en/investors/credit-ratings" TargetMode="External"/><Relationship Id="rId11" Type="http://schemas.openxmlformats.org/officeDocument/2006/relationships/hyperlink" Target="https://ignitisgrupe.lt/sites/default/files/public/inline-files/First%20six%20months%202026%20interim%20report.pdf#page=14" TargetMode="External"/><Relationship Id="rId12" Type="http://schemas.openxmlformats.org/officeDocument/2006/relationships/hyperlink" Target="https://ignitisgrupe.lt/sites/default/files/public/inline-files/First%20six%20months%202026%20interim%20report.pdf#page=10" TargetMode="External"/><Relationship Id="rId13" Type="http://schemas.openxmlformats.org/officeDocument/2006/relationships/hyperlink" Target="https://ignitisgrupe.lt/en/news/ignitis-group-reports-sustained-strategic-progress-and-consistent-financial-performance-first" TargetMode="External"/><Relationship Id="rId14" Type="http://schemas.openxmlformats.org/officeDocument/2006/relationships/hyperlink" Target="https://ignitisgrupe.lt/en/investors/bonds" TargetMode="External"/><Relationship Id="rId15" Type="http://schemas.openxmlformats.org/officeDocument/2006/relationships/hyperlink" Target="https://ignitisgrupe.lt/sites/default/files/public/inline-files/First%20six%20months%202026%20interim%20report.pdf#page=24" TargetMode="External"/><Relationship Id="rId16" Type="http://schemas.openxmlformats.org/officeDocument/2006/relationships/hyperlink" Target="https://ignitisgrupe.lt/sites/default/files/public/inline-files/Ignitis%20Group%20Strategic%20Plan%202026%202029.pdf" TargetMode="External"/><Relationship Id="rId17" Type="http://schemas.openxmlformats.org/officeDocument/2006/relationships/hyperlink" Target="https://ignitisgrupe.lt/en/news/ignitis-group-prices-its-inaugural-eur-300-million-5-year-eugb-bonds" TargetMode="External"/><Relationship Id="rId18" Type="http://schemas.openxmlformats.org/officeDocument/2006/relationships/hyperlink" Target="https://ignitisgrupe.lt/sites/default/files/public/inline-files/First%20six%20months%202026%20interim%20report.pdf#page=11" TargetMode="External"/><Relationship Id="rId19" Type="http://schemas.openxmlformats.org/officeDocument/2006/relationships/hyperlink" Target="https://ignitisgrupe.lt/sites/default/files/public/inline-files/First%20six%20months%202026%20interim%20report.pdf#page=23" TargetMode="External"/><Relationship Id="rId20" Type="http://schemas.openxmlformats.org/officeDocument/2006/relationships/hyperlink" Target="https://ignitisgrupe.lt/sites/default/files/public/inline-files/Integrated%20Annual%20Report%202025.pdf#page=14" TargetMode="External"/><Relationship Id="rId21" Type="http://schemas.openxmlformats.org/officeDocument/2006/relationships/hyperlink" Target="https://ignitisgrupe.lt/en/news/ignitis-group-2025-results-record-strategic-progress-07-gw-new-green-capacities-installed" TargetMode="External"/><Relationship Id="rId22" Type="http://schemas.openxmlformats.org/officeDocument/2006/relationships/hyperlink" Target="https://ignitisgrupe.lt/sites/default/files/public/inline-files/First%20six%20months%202026%20interim%20report.pdf#page=29" TargetMode="External"/><Relationship Id="rId23" Type="http://schemas.openxmlformats.org/officeDocument/2006/relationships/hyperlink" Target="https://ignitisgrupe.lt/sites/default/files/public/inline-files/First%20six%20months%202026%20interim%20report.pdf#page=36" TargetMode="External"/><Relationship Id="rId24" Type="http://schemas.openxmlformats.org/officeDocument/2006/relationships/hyperlink" Target="https://ignitisgrupe.lt/sites/default/files/public/inline-files/First%20six%20months%202026%20interim%20report.pdf#page=32" TargetMode="External"/><Relationship Id="rId25" Type="http://schemas.openxmlformats.org/officeDocument/2006/relationships/hyperlink" Target="https://ignitisgrupe.lt/sites/default/files/public/inline-files/First%20six%20months%202026%20interim%20report.pdf#page=33" TargetMode="External"/><Relationship Id="rId26" Type="http://schemas.openxmlformats.org/officeDocument/2006/relationships/hyperlink" Target="https://ignitisgrupe.lt/sites/default/files/public/inline-files/Integrated%20Annual%20Report%202025.pdf" TargetMode="External"/><Relationship Id="rId27" Type="http://schemas.openxmlformats.org/officeDocument/2006/relationships/hyperlink" Target="https://ignitisgrupe.lt/sites/default/files/public/inline-files/Integrated%20Annual%20Report%202025.pdf#page=11" TargetMode="External"/><Relationship Id="rId28" Type="http://schemas.openxmlformats.org/officeDocument/2006/relationships/hyperlink" Target="https://ignitisgrupe.lt/sites/default/files/public/inline-files/First%20six%20months%202026%20interim%20report.pdf#page=37" TargetMode="External"/><Relationship Id="rId29" Type="http://schemas.openxmlformats.org/officeDocument/2006/relationships/image" Target="media/image1.png"/><Relationship Id="rId30" Type="http://schemas.openxmlformats.org/officeDocument/2006/relationships/hyperlink" Target="https://ignitisgrupe.lt/sites/default/files/public/inline-files/First%20six%20months%202026%20interim%20report.pdf#page=5" TargetMode="External"/><Relationship Id="rId31" Type="http://schemas.openxmlformats.org/officeDocument/2006/relationships/hyperlink" Target="https://ignitisgrupe.lt/sites/default/files/public/inline-files/Transcript.%20Investor%20presentation_6M%202026%20results.pdf" TargetMode="External"/><Relationship Id="rId32" Type="http://schemas.openxmlformats.org/officeDocument/2006/relationships/hyperlink" Target="https://ignitisgrupe.lt/sites/default/files/public/inline-files/First%20six%20months%202026%20interim%20report.pdf#page=6" TargetMode="External"/><Relationship Id="rId33" Type="http://schemas.openxmlformats.org/officeDocument/2006/relationships/hyperlink" Target="https://data.fca.org.uk/artefacts/NSM/GNW/b8cfd694-6694-4d57-bf10-2bb5ed7ce1a4.html" TargetMode="External"/><Relationship Id="rId34" Type="http://schemas.openxmlformats.org/officeDocument/2006/relationships/hyperlink" Target="https://ignitisgrupe.lt/sites/default/files/public/inline-files/Integrated%20Annual%20Report%202025.pdf#page=27" TargetMode="External"/><Relationship Id="rId35" Type="http://schemas.openxmlformats.org/officeDocument/2006/relationships/hyperlink" Target="https://ignitisgrupe.lt/sites/default/files/public/inline-files/First%20six%20months%202026%20interim%20report.pdf#page=17" TargetMode="External"/><Relationship Id="rId36" Type="http://schemas.openxmlformats.org/officeDocument/2006/relationships/hyperlink" Target="https://ignitisgrupe.lt/sites/default/files/public/inline-files/Integrated%20Annual%20Report%202025.pdf#page=10" TargetMode="External"/><Relationship Id="rId37" Type="http://schemas.openxmlformats.org/officeDocument/2006/relationships/hyperlink" Target="https://ignitisgrupe.lt/tvarumo-valdymas/politikos-ir-sertifikatai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webapp.sebgroup.com/mb/mblib.nsf/dld/60D2454400789893C12587D70030AFC1?opendocument" TargetMode="External"/><Relationship Id="rId40" Type="http://schemas.openxmlformats.org/officeDocument/2006/relationships/hyperlink" Target="https://ignitisgrupe.lt/sites/default/files/public/inline-files/Integrated%20Annual%20Report%202025.pdf#page=24" TargetMode="External"/><Relationship Id="rId41" Type="http://schemas.openxmlformats.org/officeDocument/2006/relationships/hyperlink" Target="https://webapp.sebgroup.com/mb/mblib.nsf/dld/80AF6A2E5F88CDC2C12586B1002E33C2?opendocument" TargetMode="External"/><Relationship Id="rId42" Type="http://schemas.openxmlformats.org/officeDocument/2006/relationships/hyperlink" Target="https://ignitisgrupe.lt/sites/default/files/public/inline-files/Integrated%20Annual%20Report%202025.pdf#page=8" TargetMode="External"/><Relationship Id="rId43" Type="http://schemas.openxmlformats.org/officeDocument/2006/relationships/hyperlink" Target="https://ignitisgrupe.lt/sites/default/files/public/inline-files/Integrated%20Annual%20Report%202025.pdf#page=16" TargetMode="External"/><Relationship Id="rId44" Type="http://schemas.openxmlformats.org/officeDocument/2006/relationships/hyperlink" Target="https://ignitisgrupe.lt/tvarumo-prioritetai/verslo-etika" TargetMode="External"/><Relationship Id="rId45" Type="http://schemas.openxmlformats.org/officeDocument/2006/relationships/hyperlink" Target="https://ignitisgrupe.lt/tvarumo-prioritetai/gamta" TargetMode="External"/><Relationship Id="rId46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