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23,7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65,5 %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19,6 %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9,9 %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2,1 %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auga (2025 m. – 305,4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viešuose šaltiniuose ir naujienose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dėl pinigų plovimo prevencijos neskelbta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2025 m. priežiūros pastaba – Finantsinspektsioon nurodymas dėl bazinių mokėjimo paslaugų tvarkos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397"/>
      </w:pPr>
      <w:r>
        <w:rPr>
          <w:b/>
          <w:color w:val="333333"/>
          <w:sz w:val="19"/>
        </w:rPr>
        <w:t>Galimas atitikmuo – peržiūrėti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EU: luminor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US OFAC: luminor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(paskutinės 30 d., 2026-10-22) neigiamų naujienų nerado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Dauguma naujienų – apie OTP Bank sandorį.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2025 m. – 305,4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182,4 mln.), tikslas – 700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skaičiuojamos PCAF metodu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portfelio, tikslas – 50 %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Gavus leidimus savininku taps OTP Bank (Vengrija)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Valdymo ar tarptautinių normų pažeidimų nerasta (greita paieška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atskleidžiamos pagal PCAF (3 apimtis – 3,2 mln. t CO2e 2025 m.)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305,4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tikslas – 700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gerbti žmogaus teises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PPTFP ir sankcijų atitiktis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priemonės ir pranešėjų kanalai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 skolinimo išimčių sąrašo (anglis, nafta ir dujos, ginklai) ir narystės JT Pasauliniame susitarime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kapitalas, likvidumas ir ESG praktika – tvirti.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(3 apimtis) 2025 m. – 3,2 mln. t CO2e, PCAF metodas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stebėtojų taryboje – 33,3 % (tikslas 40 %)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18,4, maža rizika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