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No public credit rating found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Worth watching.</w:t>
            </w:r>
            <w:r>
              <w:rPr>
                <w:b w:val="0"/>
                <w:color w:val="1A1A1A"/>
                <w:sz w:val="21"/>
              </w:rPr>
              <w:t xml:space="preserve"> The balance sheet is strong (net debt 2.78x EBITDA, equity 59.8% of assets)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But 6M 2026 net profit fell 41.7% on higher fuel and repair costs, so next year's dividend base may be smaller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59.3 EUR m</w:t>
            </w:r>
          </w:p>
          <w:p>
            <w:r>
              <w:rPr>
                <w:color w:val="5F6B7A"/>
                <w:sz w:val="16"/>
              </w:rPr>
              <w:t>▲ 2.4 %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25.8 EUR m</w:t>
            </w:r>
          </w:p>
          <w:p>
            <w:r>
              <w:rPr>
                <w:color w:val="5F6B7A"/>
                <w:sz w:val="16"/>
              </w:rPr>
              <w:t>▼ 13.4 %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6.0 EUR m</w:t>
            </w:r>
          </w:p>
          <w:p>
            <w:r>
              <w:rPr>
                <w:color w:val="5F6B7A"/>
                <w:sz w:val="16"/>
              </w:rPr>
              <w:t>▼ 41.7 %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2.78x</w:t>
            </w:r>
          </w:p>
          <w:p>
            <w:r>
              <w:rPr>
                <w:color w:val="5F6B7A"/>
                <w:sz w:val="16"/>
              </w:rPr>
              <w:t>▲ 0.27x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calculated by the tool)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43.5%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Operating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Cargo volume, m 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Passengers,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Cargo 6.48m t (−5.0%), mainly liquid bulk (−33.8%); passengers 3.59m (−2.0%); vessel calls −4.8%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Cruise passengers +47.8%, cruise ship calls +29.3% (6M)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6M investments EUR 3.5m (12.0m). The 2025 comparison includes a one-off EUR 0.9m gain on the land sale for the Rail Baltica station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85% of profit paid (policy ≥70%)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19,261 t CO2e (−41.8% vs 2019; calculated by the tool)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−41.8% reached by 2025; about 13 p.p. more is needed by 2030 (calculated by the tool)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- assess in the next review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in the 2026-08 outlook; nothing to compare yet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Port operator, ferry services, icebreaker, real estate - no weapons, tobacco, gambling, coal or oil exploration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Handles liquid bulk (oil products), volumes declining (−33.8% in 6M)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bribery case from 2015 concerns former executives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is the injured party, not a defendant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US OFAC, UK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new adverse news in the automatic news scan (Estonian and English media, last 30 days,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Older coverage concerns the former executives' case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Voluntary 2025 sustainability report following CSRD/ESRS principles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of 90% renewable energy for own use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Climate-neutral operations by 2050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1+2 emissions −55% by 2030 versus 2019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Progress: 19,261 t CO2e in 2025, −41.8% versus 2019 (calculated by the tool)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current yellow flag.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former executives' case is historical (from 2015) and the company is the injured party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 xml:space="preserve"> and the Shipping policy, because the ferry segment is 31.4% of 6M 2026 revenue, above the 15% threshold (calculated by the tool)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Transportation policy does not apply (road, rail and air only)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governance or international-norm breach by the company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Annual sustainability report with climate data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by 2050 and a plan to move ferries to alternative fuels or electrification, in line with SEB's decarbonisation-plan expectation</w:t>
      </w:r>
      <w:hyperlink r:id="rId24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Liquid bulk (oil products) handling is declining, −33.8% in 6M 2026</w:t>
      </w:r>
      <w:hyperlink r:id="rId11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Public reports do not describe shipping-specific items (ship energy efficiency plans, CII ratings, ship recycling)</w:t>
      </w:r>
      <w:hyperlink r:id="rId22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or human rights due diligence, whistleblowing and anti-corruption policies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1+2 emissions 19,261 t CO2e in 2025, −41.8% versus 2019 (calculated by the tool)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−55% by 2030 and climate neutrality by 2050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Clear climate targets with good progress (−41.8% versus 2019). Shipping-specific disclosures could be more detailed.</w:t>
      </w:r>
    </w:p>
    <w:p>
      <w:r>
        <w:rPr>
          <w:i/>
          <w:color w:val="5F6B7A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2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Relationship Id="rId21" Type="http://schemas.openxmlformats.org/officeDocument/2006/relationships/hyperlink" Target="https://sebgroup.com/sustainability/our-sustainability-strategy/policies" TargetMode="External"/><Relationship Id="rId22" Type="http://schemas.openxmlformats.org/officeDocument/2006/relationships/hyperlink" Target="https://webapp.sebgroup.com/mb/mblib.nsf/dld/C882785365792AC9C12587D700312ACF?opendocument" TargetMode="External"/><Relationship Id="rId23" Type="http://schemas.openxmlformats.org/officeDocument/2006/relationships/hyperlink" Target="https://webapp.sebgroup.com/mb/mblib.nsf/dld/B1113F0C7B3136E4C12587D70030204B?opendocument" TargetMode="External"/><Relationship Id="rId24" Type="http://schemas.openxmlformats.org/officeDocument/2006/relationships/hyperlink" Target="https://www.ts.ee/wp-content/uploads/2026/04/Sustainability_Report_2025.pdf#page=18" TargetMode="External"/><Relationship Id="rId25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