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2015 m. kyšininkavimo byla susijusi su buvusiais vadovais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joje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US OFAC, UK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(estų ir anglų žiniasklaida, paskutinės 30 d., 2026-10-22) naujų neigiamų naujienų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Senesnės publikacijos – apie buvusių vadovų bylą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Klimatui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m., palyginti su 2019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Pažanga: 2025 m. – 19 261 t CO2e, −41,8 % nuo 2019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Dabartinių geltonų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byla – istorinė (nuo 2015 m.), bendrovė joje nukentėjusioji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ir laivybos politika, nes keltų segmentas sudaro 31,4 %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nėra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SEB dekarbonizacijos plano lūkestį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mažėja,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−33,8 %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Viešose ataskaitose neaprašyti laivybos dalykai (laivų energijos efektyvumo planai, CII reitingai, laivų perdirbimas)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žmogaus teisių patikra, pranešėjų kanalas, antikorupcijos politika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2025 m. – 19 261 t CO2e, −41,8 % nuo 2019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−55 % iki 2030 m. ir klimato neutralumas iki 2050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Aiškūs klimato tikslai ir gera pažanga (−41,8 % nuo 2019 m.). Laivybos atskleidimas galėtų būti išsamesnis.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