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Eesti Energia (Enefit)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Integrated energy (generation incl. oil shale and renewables, shale oil, networks via Elektrilevi, retail)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Baa3 stable (2026-04-08); Fitch BBB- stable (2025-07-22); the hybrid is not rated separately in the documents read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Eesti Energia 7.875% perpetual subordinated hybrid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XS2824761188  ·  7.875%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Eesti Energia is 100% state-owned with an investment-grade rating (Moody's Baa3, Fitch BBB-)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But leverage is high: net debt / EBITDA 4.1x (3.6x a year earlier), and FY2025 showed an EUR 82.6m loss due to impairments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The instrument held is a subordinated hybrid whose coupon may be deferred.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20.3 % vs FY2024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4.1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1,224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10.0 %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2,045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12.3 %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Weaker quarter:</w:t>
      </w:r>
      <w:r>
        <w:rPr>
          <w:b w:val="0"/>
        </w:rPr>
        <w:t xml:space="preserve"> Q2 EBITDA EUR 55.7m (76.9m), net loss EUR 8.6m (profit 27.3m)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 rising:</w:t>
      </w:r>
      <w:r>
        <w:rPr>
          <w:b w:val="0"/>
        </w:rPr>
        <w:t xml:space="preserve"> net debt EUR 1,224m, 4.1x EBITDA (3.6x a year earlier)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Undrawn credit lines EUR 420m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Shift to renewables:</w:t>
      </w:r>
      <w:r>
        <w:rPr>
          <w:b w:val="0"/>
        </w:rPr>
        <w:t xml:space="preserve"> 2,257 GWh of 3,623 GWh generated from renewables in 2025 (62%, own calculation); 872 MW wind and 172 MW solar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Strategy 2030+ (2026-09-17):</w:t>
      </w:r>
      <w:r>
        <w:rPr>
          <w:b w:val="0"/>
        </w:rPr>
        <w:t xml:space="preserve"> gradual phase-out of oil shale power, up to 350 MW of cleaner dispatchable (incl. gas) capacity, separation of the power and shale oil businesses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XS2824761188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Eesti Energia 7.875% perpetual subordinated hybrid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7.875%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Perpetual; first call 2029-07-15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1,785.2*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1,646.9*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939.9*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398.2*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20.3 %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-82.6*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40.5*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723.6*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459.2*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36.5 %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1,201*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1,254*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1,224*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10.0 %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3.02x*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3.95x*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4.1x*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2,383*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1,993*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2,045*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12.3 %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41.7%ᶜ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Electricity generation, GWh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3,791*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3,623*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4.4 %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sti-energia_e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State-owned:</w:t>
      </w:r>
      <w:r>
        <w:rPr>
          <w:b w:val="0"/>
        </w:rPr>
        <w:t xml:space="preserve"> power and heat generation (oil shale, wind, solar), shale oil, distribution grid (Elektrilevi), retail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new Enefit 280-2 shale oil plant started up in April 2026; Elektrilevi's tariff rose 3.4% from June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1,646.9m (1,785.2m), EBITDA EUR 317.2m (398.2m), loss EUR 82.6m including EUR 197.6m impairment; investments EUR 459.2m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Equity EUR 2,045m at 2026-06-30; total assets EUR 4,901m; equity ratio about 42% (own calculation)</w:t>
      </w:r>
      <w:hyperlink r:id="rId1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 The state injected EUR 100m of equity in May 2025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Debt EUR 1,666m at 2026-06-30; a EUR 300m 4.6% green bond (2031) was issued on 2026-05-28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Phase out oil shale power generation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2030+ says 'gradually' with no date; Moody's says 2030-2035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firm date in the new strategy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Emit no more than 3.6 Mt CO2 in 2024-2027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Actual emissions not found in the reports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data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Carbon-neutral electricity by 2045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Renewables 62% of 2025 output (own calculation)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Part of output still comes from oil shale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7.875% perpetual subordinated hybrid, EUR 400m, issued 2024-07-15, first call 2029-07-15, annual coupon; London Stock Exchange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Ranking:</w:t>
      </w:r>
      <w:r>
        <w:rPr>
          <w:b w:val="0"/>
        </w:rPr>
        <w:t xml:space="preserve"> the hybrid ranks below all other debt; Fitch treats it as 50% equity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Moody's lists junior subordinated debt at B1 (the document does not say whether this is this hybrid)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Coupon deferral and reset terms were not found.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Leverage:</w:t>
      </w:r>
      <w:r>
        <w:rPr>
          <w:b w:val="0"/>
        </w:rPr>
        <w:t xml:space="preserve"> 4.1x EBITDA – high; Moody's expects EUR 400-450m of EBITDA in 2026-2027 (agency forecast)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 The state has injected equity before (EUR 125m in 2020, EUR 100m in 2025)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elevated risk – high leverage and a subordinated instrument, but strong state support.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Weaker Q2:</w:t>
      </w:r>
      <w:r>
        <w:rPr>
          <w:b w:val="0"/>
        </w:rPr>
        <w:t xml:space="preserve"> EBITDA -28% to EUR 55.7m and a net loss of EUR 8.6m; management says the Q2 2025 frequency-service result was temporarily boosted by the market opening and has since normalised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Competition and oil shale:</w:t>
      </w:r>
      <w:r>
        <w:rPr>
          <w:b w:val="0"/>
        </w:rPr>
        <w:t xml:space="preserve"> Estonian retail market share fell 4 pp to 38% on intense competition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; oil-shale power output fell 49% on lower market prices and imports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Q2 market prices:</w:t>
      </w:r>
      <w:r>
        <w:rPr>
          <w:b w:val="0"/>
        </w:rPr>
        <w:t xml:space="preserve"> power in Estonia EUR 59.7/MWh (-1.9%), Lithuania 78.2 (+26.5%) – the Estonia-Latvia link capped Estonian prices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; TTF gas EUR 45.6/MWh (+28%), CO2 EUR 76.5/t, Brent USD 96.9/bbl (+45.3%)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Strategy 2030+:</w:t>
      </w:r>
      <w:r>
        <w:rPr>
          <w:b w:val="0"/>
        </w:rPr>
        <w:t xml:space="preserve"> the company expects higher power-price volatility and aims to cover about two-thirds of Estonia's extra power demand by 2030, adding up to 350 MW of dispatchable capacity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Hydrogen:</w:t>
      </w:r>
      <w:r>
        <w:rPr>
          <w:b w:val="0"/>
        </w:rPr>
        <w:t xml:space="preserve"> on 2026-10-20 the press reported that Eesti Energia gives up EUR 24.7m (of support) and the hydrogen infrastructure will not be built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Narva heating:</w:t>
      </w:r>
      <w:r>
        <w:rPr>
          <w:b w:val="0"/>
        </w:rPr>
        <w:t xml:space="preserve"> on 2026-10-06 the company received a conditional permit to heat Narva with shale oil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2026-07-25 – 2026-10-23: 6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Eesti Energia juht: andmekeskused on energiasüsteemile kasulikud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Eesti Energia loobub 24,7 miljonist eurost, vesinikutaristu jääb ehitamata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Eesti Energia sai tingimusliku loa Narva kütmiseks põlevkiviõliga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Eesti Energia endised tippjuhid lõid ettevõtte, kus töötavad vaid AI-agendid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Taavi Veskimägi: Eesti üks kallimaid otsuseid on olnud Eesti Energia erastamata jätmine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weapons, tobacco or gambling.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Oil shale mining, shale oil and oil shale power – the SEB policy gives unconventional oil and gas a Baltic exception until 2030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expects oil shale power to end in 2030-2035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ISS found none in 2024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Found: on 2025-05-07 prosecutors opened a criminal case over the special audit findings (possible damage to Enefit Power)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one has been charged.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Environmental Board fined Enefit Power EUR 190,000 and EUR 110,000 for air emission breaches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6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Fast wind and solar expansion (872 MW wind, 172 MW solar), a green finance framework with an ISS opinion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Targets: carbon-neutral electricity by 2045, Net Zero 2050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Yellow flag: the criminal case over the audit and environmental fines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credit impact CIS-4, environmental E-4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Fossil Fuels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 xml:space="preserve"> and Electricity &amp; Renewable Energy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 xml:space="preserve"> policies.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transition plan (Strategy 2030+), emission targets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firm oil shale exit date.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Worthwhile: the oil shale exit date, as the SEB Baltic exception for unconventional oil ends in 2030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and non-renewable generation and emission caps are reported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red flags, but oil shale activity is covered by the SEB Baltic exception only until 2030; yellow flag – the audit case and fines.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Fitch - Eesti Energia rating report, p. 1-2,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Fitch - Eesti Energia rating report, p. 1,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Enefit - Investor page (bonds, financing),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Eesti Energia - Strategy 2030+ press release, 2026-09-17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Eesti Energia - Interim report Q2 2026 (unaudited, ET), p. 30,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Eesti Energia - Interim report Q2 2026 (unaudited, ET), p.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Eesti Energia - Interim report Q2 2026 (unaudited, ET), p. 3,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Eesti Energia - Interim report Q2 2026 (unaudited, ET), p. 10-11,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Moody's - Eesti Energia credit opinion update, p. 3,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ISS-Corporate - Second Party Opinion on the Green Finance Framework, p. 19-20,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ISS-Corporate - Second Party Opinion on the Green Finance Framework, p. 18,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Fitch - Eesti Energia rating report, p. 4,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Moody's - Eesti Energia credit opinion update, p.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Moody's - Eesti Energia credit opinion update, p. 8,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Eesti Energia - Interim report Q2 2026 (unaudited, ET), p. 12,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Eesti Energia - Interim report Q2 2026 (unaudited, ET), p. 14,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Eesti Energia - Interim report Q2 2026 (unaudited, ET), p. 15,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Eesti Energia - Interim report Q2 2026 (unaudited, ET), p. 6,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Eesti Energia - Interim report Q2 2026 (unaudited, ET), p. 8, 9,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Majandus – Eesti Energia loobub 24,7 miljonist eurost, vesinikutaristu jääb ehitamata,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ERR – Eesti Energia sai tingimusliku loa Narva kütmiseks põlevkiviõliga, 2026-10-06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9">
        <w:r>
          <w:rPr>
            <w:color w:val="2A78D6"/>
            <w:sz w:val="17"/>
          </w:rPr>
          <w:t xml:space="preserve">SEB Sector Policy on Fossil Fuels (2026-04-23), p. 8-9,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40">
        <w:r>
          <w:rPr>
            <w:color w:val="2A78D6"/>
            <w:sz w:val="17"/>
          </w:rPr>
          <w:t xml:space="preserve">ISS-Corporate - Second Party Opinion on the Green Finance Framework, p. 21,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1">
        <w:r>
          <w:rPr>
            <w:color w:val="2A78D6"/>
            <w:sz w:val="17"/>
          </w:rPr>
          <w:t xml:space="preserve">ERR - Prokuratuur algatas Eesti Energia erikontrolli tõttu kriminaalmenetluse, 2025-05-07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2">
        <w:r>
          <w:rPr>
            <w:color w:val="2A78D6"/>
            <w:sz w:val="17"/>
          </w:rPr>
          <w:t xml:space="preserve">Eesti Energia - Annual report 2025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3">
        <w:r>
          <w:rPr>
            <w:color w:val="2A78D6"/>
            <w:sz w:val="17"/>
          </w:rPr>
          <w:t xml:space="preserve">ISS-Corporate - Second Party Opinion on the Green Finance Framework,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4">
        <w:r>
          <w:rPr>
            <w:color w:val="2A78D6"/>
            <w:sz w:val="17"/>
          </w:rPr>
          <w:t xml:space="preserve">Moody's - Eesti Energia credit opinion update, p. 5,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39">
        <w:r>
          <w:rPr>
            <w:color w:val="2A78D6"/>
            <w:sz w:val="17"/>
          </w:rPr>
          <w:t xml:space="preserve">SEB Sector Policy on Fossil Fuels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5">
        <w:r>
          <w:rPr>
            <w:color w:val="2A78D6"/>
            <w:sz w:val="17"/>
          </w:rPr>
          <w:t xml:space="preserve">SEB Sector Policy on Electricity &amp; Renewable Energy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16, 2026-07-31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Eesti Energia (Enefit)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public-docs.enefit.com/ettevottest/investorile/EE-credit-opinion-update-2026-04-13.pdf#page=1" TargetMode="External"/><Relationship Id="rId13" Type="http://schemas.openxmlformats.org/officeDocument/2006/relationships/hyperlink" Target="https://public-docs.enefit.com/ettevottest/investorile/Fitch-rating.pdf#page=1" TargetMode="External"/><Relationship Id="rId14" Type="http://schemas.openxmlformats.org/officeDocument/2006/relationships/hyperlink" Target="https://public-docs.enefit.com/ettevottest/investorile/2026/Q2-2026-aruanne_EST_final.pdf#page=5" TargetMode="External"/><Relationship Id="rId15" Type="http://schemas.openxmlformats.org/officeDocument/2006/relationships/hyperlink" Target="https://public-docs.enefit.com/ettevottest/investorile/2025/EE-aruanne-2025-EN_FINAL.pdf#page=8" TargetMode="External"/><Relationship Id="rId16" Type="http://schemas.openxmlformats.org/officeDocument/2006/relationships/hyperlink" Target="https://www.enefit.com/en/investorile" TargetMode="External"/><Relationship Id="rId17" Type="http://schemas.openxmlformats.org/officeDocument/2006/relationships/hyperlink" Target="https://www.enefit.com/en/-/investori-uudised/eesti-energia-strateegia-2030-poorame-energiaulemineku-arikasvuks-ja-tagame-kindla-energiavarustuse" TargetMode="External"/><Relationship Id="rId18" Type="http://schemas.openxmlformats.org/officeDocument/2006/relationships/hyperlink" Target="https://public-docs.enefit.com/ettevottest/investorile/2026/Q2-2026-aruanne_EST_final.pdf#page=30" TargetMode="External"/><Relationship Id="rId19" Type="http://schemas.openxmlformats.org/officeDocument/2006/relationships/hyperlink" Target="https://public-docs.enefit.com/ettevottest/investorile/2026/Q2-2026-aruanne_EST_final.pdf#page=32" TargetMode="External"/><Relationship Id="rId20" Type="http://schemas.openxmlformats.org/officeDocument/2006/relationships/image" Target="media/image1.png"/><Relationship Id="rId21" Type="http://schemas.openxmlformats.org/officeDocument/2006/relationships/hyperlink" Target="https://public-docs.enefit.com/ettevottest/investorile/2026/Q2-2026-aruanne_EST_final.pdf#page=3" TargetMode="External"/><Relationship Id="rId22" Type="http://schemas.openxmlformats.org/officeDocument/2006/relationships/hyperlink" Target="https://public-docs.enefit.com/ettevottest/investorile/2026/Q2-2026-aruanne_EST_final.pdf#page=10" TargetMode="External"/><Relationship Id="rId23" Type="http://schemas.openxmlformats.org/officeDocument/2006/relationships/hyperlink" Target="https://public-docs.enefit.com/ettevottest/investorile/EE-credit-opinion-update-2026-04-13.pdf#page=3" TargetMode="External"/><Relationship Id="rId24" Type="http://schemas.openxmlformats.org/officeDocument/2006/relationships/hyperlink" Target="https://public-docs.enefit.ee/ettevottest/investorile/SPO.pdf#page=19" TargetMode="External"/><Relationship Id="rId25" Type="http://schemas.openxmlformats.org/officeDocument/2006/relationships/hyperlink" Target="https://public-docs.enefit.ee/ettevottest/investorile/SPO.pdf#page=18" TargetMode="External"/><Relationship Id="rId26" Type="http://schemas.openxmlformats.org/officeDocument/2006/relationships/hyperlink" Target="https://public-docs.enefit.com/ettevottest/investorile/Fitch-rating.pdf#page=4" TargetMode="External"/><Relationship Id="rId27" Type="http://schemas.openxmlformats.org/officeDocument/2006/relationships/hyperlink" Target="https://public-docs.enefit.com/ettevottest/investorile/EE-credit-opinion-update-2026-04-13.pdf#page=11" TargetMode="External"/><Relationship Id="rId28" Type="http://schemas.openxmlformats.org/officeDocument/2006/relationships/hyperlink" Target="https://public-docs.enefit.com/ettevottest/investorile/EE-credit-opinion-update-2026-04-13.pdf#page=8" TargetMode="External"/><Relationship Id="rId29" Type="http://schemas.openxmlformats.org/officeDocument/2006/relationships/hyperlink" Target="https://public-docs.enefit.com/ettevottest/investorile/2026/Q2-2026-aruanne_EST_final.pdf#page=12" TargetMode="External"/><Relationship Id="rId30" Type="http://schemas.openxmlformats.org/officeDocument/2006/relationships/hyperlink" Target="https://public-docs.enefit.com/ettevottest/investorile/2026/Q2-2026-aruanne_EST_final.pdf#page=14" TargetMode="External"/><Relationship Id="rId31" Type="http://schemas.openxmlformats.org/officeDocument/2006/relationships/hyperlink" Target="https://public-docs.enefit.com/ettevottest/investorile/2026/Q2-2026-aruanne_EST_final.pdf#page=15" TargetMode="External"/><Relationship Id="rId32" Type="http://schemas.openxmlformats.org/officeDocument/2006/relationships/hyperlink" Target="https://public-docs.enefit.com/ettevottest/investorile/2026/Q2-2026-aruanne_EST_final.pdf#page=6" TargetMode="External"/><Relationship Id="rId33" Type="http://schemas.openxmlformats.org/officeDocument/2006/relationships/hyperlink" Target="https://public-docs.enefit.com/ettevottest/investorile/2026/Q2-2026-aruanne_EST_final.pdf#page=8" TargetMode="External"/><Relationship Id="rId34" Type="http://schemas.openxmlformats.org/officeDocument/2006/relationships/hyperlink" Target="https://news.google.com/rss/articles/CBMisAFBVV95cUxQLWl5SEoxLS1Rcng2TzgtdVVFNzF3SVBNeUVqbnpUVkZWN19hbk9VYWFEdU1zMDhmWG1SalFRcm55eFA3Q2tIRWRiUUJsNWZzWUZzVTBGZG9INWd4d19lR2kzQlc4d0JGQUExcGtpakp0M3dhZ3FOM3VQMHA1RXM4R1d6R1VWTkIwM2hLaVNGZ2RHNVZmWE1qUlQ1LVBzZVVIWDBoSDRLbEQ0TEo0MHgwSA?oc=5" TargetMode="External"/><Relationship Id="rId35" Type="http://schemas.openxmlformats.org/officeDocument/2006/relationships/hyperlink" Target="https://news.google.com/rss/articles/CBMimwFBVV95cUxNUnpUcjZyc1NGSndMZ0lkRzJjR3ZqQWhLVzRzV1RsTUdLQnp2cGN6UndPbjFNZ0t2dE90WjZHQlNEd2Yyc1RrelRGOTZKeUFUQkZPdmN5Q1JpTG9rcEZQd2ttR2lJbUJIUGxhbFU1Tm1CTDlLazJEU1E1VXhEUXd3YmQ4d3pub1V2QlU5S0FtYTJXOXUzelNnRG9QSQ?oc=5" TargetMode="External"/><Relationship Id="rId36" Type="http://schemas.openxmlformats.org/officeDocument/2006/relationships/hyperlink" Target="https://news.google.com/rss/articles/CBMimAFBVV95cUxPT3oxeEZjcUZPSTRKWWJQNnZlTE44QlJPUlhwdTJwQ1JHejBsaTJXMVkzMjZVeWRYYUM3RVBXTFR5Ui1LbzhaV2FQNXBtUWVkck1Yd0s0cUU1VkhuZnBlbS1VU1o3cnM1WWt0R3VDLW9EVGQwOThJa1hlY0FGU201bGREWDBNQ3pWd09UZU4yWVNlWlFmUmRyVg?oc=5" TargetMode="External"/><Relationship Id="rId37" Type="http://schemas.openxmlformats.org/officeDocument/2006/relationships/hyperlink" Target="https://news.google.com/rss/articles/CBMiuAFBVV95cUxPYXdQVzdNbndyWk9Xa05QSGU5dV9jUlh1Wjdkc1NuQmxBcDVvTUdHV055WmV0U0o2VnB3cjViLTFOMTY3Qmcxd1ljVlZrNTFoWEpXeEoxeWx4cENQSjlZR1JWSGpJOFRuMHJ1MU80TmZQRnJMNGlkSm5fSWlTc0dVQlpUTFlnWllXS2VjRzdLajluOHhnbnI1T2JWQlU0aDFaWFJxeXZOTnRsang3bWd6UDl0cWl6cVJK?oc=5" TargetMode="External"/><Relationship Id="rId38" Type="http://schemas.openxmlformats.org/officeDocument/2006/relationships/hyperlink" Target="https://news.google.com/rss/articles/CBMi0wFBVV95cUxQSnFVb3lYXy1IdjZDdnQ3MDNrRVUyeWxQQVI4UU1Sem8xTFRPallHN3Vwd3V6YXU2Q2twZzRoM1RyNkxtbWtqcmZTWVhicktKVGxRY0NFZ0M1RTRiMWFvSTlodUJjWlNrc3lNYXlqYXZYRWJTQjBNdkVWeUdmNDhka1lCa3NhbFc4QVlmLUxjdlM1cnJEdGN4RE5XYWRkVlZaTnVNdFl2amJxUi1xZjNBeV9EQXQwRERQN2dYQXJMY3AyUHRpTGsxR1dhUWUtR0h3WkZj?oc=5" TargetMode="External"/><Relationship Id="rId39" Type="http://schemas.openxmlformats.org/officeDocument/2006/relationships/hyperlink" Target="https://webapp.sebgroup.com/mb/mblib.nsf/dld/80AF6A2E5F88CDC2C12586B1002E33C2?opendocument" TargetMode="External"/><Relationship Id="rId40" Type="http://schemas.openxmlformats.org/officeDocument/2006/relationships/hyperlink" Target="https://public-docs.enefit.ee/ettevottest/investorile/SPO.pdf#page=21" TargetMode="External"/><Relationship Id="rId41" Type="http://schemas.openxmlformats.org/officeDocument/2006/relationships/hyperlink" Target="https://www.err.ee/1609686014/prokuratuur-algatas-eesti-energia-erikontrolli-tottu-kriminaalmenetluse" TargetMode="External"/><Relationship Id="rId42" Type="http://schemas.openxmlformats.org/officeDocument/2006/relationships/hyperlink" Target="https://public-docs.enefit.com/ettevottest/investorile/2025/EE-aruanne-2025-EN_FINAL.pdf#page=18" TargetMode="External"/><Relationship Id="rId43" Type="http://schemas.openxmlformats.org/officeDocument/2006/relationships/hyperlink" Target="https://public-docs.enefit.ee/ettevottest/investorile/SPO.pdf" TargetMode="External"/><Relationship Id="rId44" Type="http://schemas.openxmlformats.org/officeDocument/2006/relationships/hyperlink" Target="https://public-docs.enefit.com/ettevottest/investorile/EE-credit-opinion-update-2026-04-13.pdf#page=5" TargetMode="External"/><Relationship Id="rId45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