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Port of Tallinn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 Tallinna Sadam ordinary share (TSM1T)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EE3100021635  ·  akcija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Verta stebėti.</w:t>
            </w:r>
            <w:r>
              <w:rPr>
                <w:b w:val="0"/>
                <w:color w:val="1B2430"/>
                <w:sz w:val="21"/>
              </w:rPr>
              <w:t xml:space="preserve"> Balansas tvirtas (grynoji skola 2,78x EBITDA, nuosavas kapitalas 59,8 % turto)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Tačiau 2026 m. 6 mėn. grynasis pelnas sumažėjo 41,7 % dėl brangesnio kuro ir remontų,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59,3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13,4 %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6,0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41,7 %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2,78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0,27x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pelnas mažėja:</w:t>
      </w:r>
      <w:r>
        <w:rPr>
          <w:b w:val="0"/>
        </w:rPr>
        <w:t xml:space="preserve"> 6 mėn. pajamos išaugo 2,4 % iki 59,3 mln. EUR, tačiau koreguota EBITDA sumažėjo 13,5 % iki 25,8 mln. EUR, o grynasis pelnas – 41,7 % iki 6,0 mln. EUR. EBITDA marža nukrito iki 43,5 % nuo 51,5 %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Priežastys:</w:t>
      </w:r>
      <w:r>
        <w:rPr>
          <w:b w:val="0"/>
        </w:rPr>
        <w:t xml:space="preserve"> vadovo teigimu, brangesnis kuras ir neplanuoti laivų remontai po ledo sezono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Balansas tvirtas:</w:t>
      </w:r>
      <w:r>
        <w:rPr>
          <w:b w:val="0"/>
        </w:rPr>
        <w:t xml:space="preserve"> grynoji skola 145,8 mln. EUR, t. y. 2,78x 12 mėn. koreguotos EBITDA; nuosavas kapitalas sudaro 59,8 % turto (abu rodikliai – mūsų skaičiavimas)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viršija politiką:</w:t>
      </w:r>
      <w:r>
        <w:rPr>
          <w:b w:val="0"/>
        </w:rPr>
        <w:t xml:space="preserve"> 0,073 EUR akcijai (iš viso 19,2 mln. EUR) – 85 % 2025 m. pelno, kai politikos minimumas 70 %; išmokėta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valdoma; sena byla neužbaigta:</w:t>
      </w:r>
      <w:r>
        <w:rPr>
          <w:b w:val="0"/>
        </w:rPr>
        <w:t xml:space="preserve"> Estija valdo 67,03 %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Buvusių vadovų kyšininkavimo byloje teismas 2024-06-27 išteisino dėl senaties; abi pusės apskundė, vėlesnis sprendimas nerastas – reikia peržiūrėti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Koreguotos EBITDA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44,4 %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Veiklos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61,2 %ᶜ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59,8 %ᶜ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Krovinių kiekis, mln.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Keleiviai, mln.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Kroviniai 6,48 mln. t (−5,0 %), daugiausia dėl skystų krovinių (−33,8 %); keleiviai 3,59 mln. (−2,0 %); laivų įplaukimai −4,8 %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Kruizų keleiviai +47,8 %, kruizinių laivų įplaukimai +29,3 % (6 mėn.)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Keltai (Saaremaa, Hiiumaa):</w:t>
      </w:r>
      <w:r>
        <w:rPr>
          <w:b w:val="0"/>
        </w:rPr>
        <w:t xml:space="preserve"> II ketv. reisai +1,2 %, keleiviai +1,8 %; vasarai sutarta dėl papildomų kelto „Regula“ reisų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Ledlaužio „Botnica“ frachtas 130 d. (110 d.)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Segmentai (6 mėn., pajamos / koreg. EBITDA, mln. EUR):</w:t>
      </w:r>
      <w:r>
        <w:rPr>
          <w:b w:val="0"/>
        </w:rPr>
        <w:t xml:space="preserve"> keleivių uostai 18,9 / 9,6; krovinių uostai 15,8 / 7,3; keltai 18,6 / 5,9; kita 5,9 / 3,1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Rizikos pagal ataskaitą:</w:t>
      </w:r>
      <w:r>
        <w:rPr>
          <w:b w:val="0"/>
        </w:rPr>
        <w:t xml:space="preserve"> karas Ukrainoje mažina skystų krovinių srautus; JAV–Irano konfliktas ir Hormūzo sąsiaurio blokada didina kuro kainas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pajamos 118,7 mln. EUR (−0,8 %), koreguota EBITDA 56,5 mln. EUR (+6,4 %), grynasis pelnas 22,5 mln. EUR (+17,3 %), investicijos 33,2 mln. EUR, laisvieji pinigų srautai 50,9 mln. EUR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investicijos 3,5 mln. EUR (12,0 mln.). 2025 m. palyginimui įtakos turėjo vienkartinis 0,9 mln. EUR pelnas iš žemės pardavimo Rail Baltica stočiai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„2025 m. rezultatai ir 2026 m. perspektyvos leidžia tęsti ir viršyti dividendų politiką“ (2026 m. vasaris)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Išmokėta 85 % pelno (politika ≥70 %)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išmokėta 85 % pelno, kai politika – ≥70 %. Tačiau 2026 m. 6 mėn. pelnas sumažėjo iki 6,0 mln. EUR (10,3 mln.) dėl kuro ir remonto sąnaudų bei mažesnių skystų krovinių,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 ir 2 apimties emisijos −55 % iki 2030 m. (bazė 2019 m. – 33 086 t CO2e), klimatui neutrali veikla iki 2050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19 261 t CO2e (−41,8 % nuo 2019 m.; mūsų skaičiavimas)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iki 2025 m. pasiekta −41,8 %; iki 2030 m. reikia dar apie 13 p. p. (mūsų skaičiavimas)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Perspektyvos (2026-08): naujos ro-ro ir konteinerių linijos, Muuga pramonės parkas, Senojo miesto uosto nekilnojamojo turto konkursas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– vertinti kitoje apžvalgoje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2026-08 perspektyvoje; dar nėra su kuo lyginti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akcijos (TSM1T, Nasdaq Tallinn). Obligacijų nėra; skolinimasis – paskolos (173,4 mln. EUR, iš jų 93,1 mln. trumpalaikės)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bazė:</w:t>
      </w:r>
      <w:r>
        <w:rPr>
          <w:b w:val="0"/>
        </w:rPr>
        <w:t xml:space="preserve"> dividendai skaičiuojami nuo praėjusių metų pelno; 6 mėn. pelnas 6,0 mln. EUR (10,3 mln.) – jei tendencija tęsis, 2027 m. dividendų bazė bus mažesnė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93,1 mln. EUR paskolų – trumpalaikės:</w:t>
      </w:r>
      <w:r>
        <w:rPr>
          <w:b w:val="0"/>
        </w:rPr>
        <w:t xml:space="preserve"> stebėti refinansavimą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balansas tvirtas, skola stabili, tačiau 2026 m. pelningumas mažėja dėl kuro ir remonto sąnaudų bei mažesnių skystų krovinių. Stebėti: 9 mėn. ataskaitą, keltų paslaugų sutartį, teismo bylos baigtį.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Kuras ir geopolitika:</w:t>
      </w:r>
      <w:r>
        <w:rPr>
          <w:b w:val="0"/>
        </w:rPr>
        <w:t xml:space="preserve"> veiklos pelnas –25,7 % iki 13,6 mln. EUR daugiausia dėl brangesnio kuro – kuro sąnaudos +47,6 % (+1,4 mln. EUR), sunkesnės ledo sąlygos didino keltų kuro sąnaudas</w:t>
      </w:r>
      <w:hyperlink r:id="rId1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Bendrovė tai sieja su JAV ir Irano konfliktu bei Hormuzo sąsiaurio blokada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Kroviniai ir keleiviai:</w:t>
      </w:r>
      <w:r>
        <w:rPr>
          <w:b w:val="0"/>
        </w:rPr>
        <w:t xml:space="preserve"> krovinių –5,0 % iki 6,5 mln. t daugiausia dėl skystųjų krovinių (–33,8 %)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Rusijos karinė veikla Ukrainoje daugiausia veikia krovinių verslą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 Keleivių –2,0 % dėl planinio „Finlandia“ keltų remonto, kruizinių keleivių +47,8 %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augo</w:t>
      </w:r>
      <w:r>
        <w:rPr>
          <w:b w:val="0"/>
        </w:rPr>
        <w:t xml:space="preserve"> 2,4 % iki 59,3 mln. EUR dėl daugiau ledlaužio „Botnica“ frachto dienų ir didesnių elektros bei keltų paslaugų pajamų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Perspektyvoje vadovybė mato daugiau kruizinių laivų, naujas ro-ro ir konteinerių linijas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2026-07-25 – 2026-10-23: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667085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Uosto operatorius, keltų paslaugos, ledlaužis, nekilnojamasis turtas – ginklų, tabako, lošimų, anglies ar naftos žvalgybos veiklos nėra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Krauna skystus krovinius (naftos produktus), jų kiekis mažėja (−33,8 % per 6 mėn.)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2015 m. kyšininkavimo byla susijusi su buvusiais vadovais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joje – nukentėjusioji, ne kaltinamoji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(estų ir anglų žiniasklaida, paskutinės 30 d., 2026-10-22) naujų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Senesnės publikacijos – apie buvusių vadovų bylą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Savanoriška 2025 m. tvarumo ataskaita pagal CSRD/ESRS principus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90 % atsinaujinančios energijos savo reikmėms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Klimatui neutrali veikla iki 2050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−55 % iki 2030 m., palyginti su 2019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Pažanga: 2025 m. – 19 261 t CO2e, −41,8 % nuo 2019 m. (mūsų skaičiavimas)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Dabartinių geltonų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Buvusių vadovų byla – istorinė (nuo 2015 m.), bendrovė joje nukentėjusioji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 xml:space="preserve"> ir laivybos politika, nes keltų segmentas sudaro 31,4 % 2026 m. 6 mėn. pajamų, daugiau nei 15 % riba (mūsų skaičiavimas)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Transporto politika netaikoma (tik kelių, geležinkelių ir oro transportas)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Bendrovės valdymo ar tarptautinių normų pažeidimų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Kasmetinė tvarumo ataskaita su klimato duomenimis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neutralumas iki 2050 m. ir planas keltus perkelti prie alternatyvių kuro rūšių ar elektros – atitinka SEB dekarbonizacijos plano lūkestį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Skystų krovinių (naftos produktų) mažėja, 2026 m. 6 mėn. −33,8 %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Viešose ataskaitose neaprašyti laivybos dalykai (laivų energijos efektyvumo planai, CII reitingai, laivų perdirbimas)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 xml:space="preserve"> ir žmogaus teisių patikra, pranešėjų kanalas, antikorupcijos politika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2025 m. – 19 261 t CO2e, −41,8 % nuo 2019 m. (mūsų skaičiavimas)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−55 % iki 2030 m. ir klimato neutralumas iki 2050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Aiškūs klimato tikslai ir gera pažanga (−41,8 % nuo 2019 m.). Laivybos atskleidimas galėtų būti išsamesnis.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7,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12,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4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5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6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7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8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7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7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Port of Tallinn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2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3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4" Type="http://schemas.openxmlformats.org/officeDocument/2006/relationships/hyperlink" Target="https://www.ts.ee/wp-content/uploads/2026/04/Sustainability_Report_2025.pdf" TargetMode="External"/><Relationship Id="rId25" Type="http://schemas.openxmlformats.org/officeDocument/2006/relationships/hyperlink" Target="https://www.ts.ee/wp-content/uploads/2026/04/Sustainability_Report_2025.pdf#page=22" TargetMode="External"/><Relationship Id="rId26" Type="http://schemas.openxmlformats.org/officeDocument/2006/relationships/hyperlink" Target="https://sebgroup.com/sustainability/our-sustainability-strategy/policies" TargetMode="External"/><Relationship Id="rId27" Type="http://schemas.openxmlformats.org/officeDocument/2006/relationships/hyperlink" Target="https://webapp.sebgroup.com/mb/mblib.nsf/dld/C882785365792AC9C12587D700312ACF?opendocument" TargetMode="External"/><Relationship Id="rId28" Type="http://schemas.openxmlformats.org/officeDocument/2006/relationships/hyperlink" Target="https://webapp.sebgroup.com/mb/mblib.nsf/dld/B1113F0C7B3136E4C12587D70030204B?opendocument" TargetMode="External"/><Relationship Id="rId29" Type="http://schemas.openxmlformats.org/officeDocument/2006/relationships/hyperlink" Target="https://www.ts.ee/wp-content/uploads/2026/04/Sustainability_Report_2025.pdf#page=18" TargetMode="External"/><Relationship Id="rId30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