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4,0 %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Rygos savivaldybei priklausanti vandens įmonė su Moody's A3 reitingu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19,7 mln. EUR (+25 %), grynoji skola / EBITDA 2,6x, nuosavo kapitalo dalis 71 %, skolos sąlygos vykdomos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pajamos 45,4 mln. EUR (+15 %), EBITDA 19,7 mln. EUR (15,7 mln.), grynasis pelnas 4,3 mln. EUR (0,5 mln.); tarifai pakelti nuo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 auga:</w:t>
      </w:r>
      <w:r>
        <w:rPr>
          <w:b w:val="0"/>
        </w:rPr>
        <w:t xml:space="preserve"> investicijos 24,1 mln. EUR per pusmetį, grynoji skola 89,9 mln. EUR, grynoji skola / EBITDA 2,6x (2,1x); 2025–2028 m. investicijų programa – 235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 vykdomos:</w:t>
      </w:r>
      <w:r>
        <w:rPr>
          <w:b w:val="0"/>
        </w:rPr>
        <w:t xml:space="preserve"> DSCR 3,9 (tikslas 2,0), palūkanų padengimas 14,2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finansavimo:</w:t>
      </w:r>
      <w:r>
        <w:rPr>
          <w:b w:val="0"/>
        </w:rPr>
        <w:t xml:space="preserve"> patvirtintas naujas prospektas iki 40 mln. EUR kitai obligacijų daliai (planuojama IV ketv.), pasirašyta 50 mln. EUR NIB kredito linija; reguliuotojas nuo 2027 m. padidino kapitalo grąžos normą iki 6,28 %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Skolos aptarnavimo koeficientas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Paslaugų sutartis su Rygos miestu galioja iki 2029-07-23; tarifus tvirtina Viešųjų paslaugų reguliavimo komisija (vanduo 1,41 EUR/m³, nuotekos 1,26 EUR/m³, valymas 0,40 EUR/m³ be PVM)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2026-03-25 Rygos taryba nusprendė išlaikyti tiesioginę įmonės nuosavybę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80,3 mln. EUR, EBITDA 31,0 mln. EUR, pelnas 0,6 mln. EUR; 2024 m. nuostolis 18,3 mln. EUR dėl turto perkainojimo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536,3 mln. EUR, turtas 755,3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Investicijų programa 2025–2028 – 235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viduryje panaudota 30,88 %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Žaliųjų obligacijų programa iki 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Išleista 20 mln. EUR (2025 m.); kita dalis iki 40 mln. EUR planuojama IV ketv.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2025 m. emisijos paklausa – 228 %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ne mažesnis nei 2,0 (2026 m. tikslas)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– 3,9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4 % žalioji obligacija (ES žaliųjų obligacijų standartas), 20 mln. EUR, kuponai kas ketvirtį, išpirkimas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Visos lėšos panaudotos ES taksonomiją atitinkantiems projektams (Sustainable Fitch patikra)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Moody's A3, savivaldybės nuosavybė, reguliuojami tarifai ir didelė nuosavo kapitalo dalis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rizika; skola auga dėl investicijų, bet rodikliai gerokai viršija sutartines ribas.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pajamos +14,7 % daugiausia dėl naujų vandentvarkos tarifų nuo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Nuotekų išvalyta 8,9 % mažiau dėl mažesnio kritulių kiekio, parduoto vandens +0,9 %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skola:</w:t>
      </w:r>
      <w:r>
        <w:rPr>
          <w:b w:val="0"/>
        </w:rPr>
        <w:t xml:space="preserve"> rekordinės 24,1 mln. EUR investicijos finansuotos skolintu kapitalu, todėl grynoji skola / EBITDA pakilo iki 2,6 karto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Kaštams įtakos gali turėti infliacija ir energijos kainos; Latvijos bankas 2026 m. infliaciją prognozuoja 3,6 %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Kita emisija:</w:t>
      </w:r>
      <w:r>
        <w:rPr>
          <w:b w:val="0"/>
        </w:rPr>
        <w:t xml:space="preserve"> iki 40 mln. EUR žaliųjų obligacijų planuojama 2026 m. IV ketv., įvertinus rinkos sąlygas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2026-07-25 – 2026-10-23: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Vandens tiekimas ir nuotekų valymas – veiklos išskirtuose sektoriuose nėra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aplinkosaugos baudų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 (riba 2 %)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Dėl kvapų Vārnukrogs rajone 2025 m. gruodį uždengta dumblo saugykla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Žalioji obligacija pagal ES standartą, lėšos – nuotekų valymui (94 %) ir saulės elektrinėms (5 %)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valymo bandomasis projektas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ES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Įmonė pati nurodo poveikio sritis: šiltnamio dujų nuotėkis, valymas per liūtis, mikroteršalai, vandens nuostoliai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 xml:space="preserve"> ir aplinkosaugos politika (klimatas, gamta, vanduo)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žaliųjų obligacijų standartas ir išorinė patikra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Nuotekų valymo kokybė atitinka ribas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Atskleidžiami reikšmingi poveikiai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reguliuojama savivaldybės įmonė su žaliųjų investicijų programa.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Iki 2030 m. renovuoti 90 km vandentiekio ir 55 km kanalizacijos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Žalioji obligacija pagal ES standartą, investicijos į nuotekų valymą.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nasdaqbaltic.com/market/upload/reports/h2o/2025_ar_en.pdf#page=5" TargetMode="External"/><Relationship Id="rId28" Type="http://schemas.openxmlformats.org/officeDocument/2006/relationships/hyperlink" Target="https://nasdaqbaltic.com/market/upload/reports/h2o/2025_ar_en.pdf#page=48" TargetMode="External"/><Relationship Id="rId29" Type="http://schemas.openxmlformats.org/officeDocument/2006/relationships/hyperlink" Target="https://sebgroup.com/sustainability/our-sustainability-strategy/policies" TargetMode="External"/><Relationship Id="rId30" Type="http://schemas.openxmlformats.org/officeDocument/2006/relationships/hyperlink" Target="https://webapp.sebgroup.com/mb/mblib.nsf/dld/CBAA255D7EC51026C1257C28002FB11A?opendocument" TargetMode="External"/><Relationship Id="rId31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