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nurodo, kad tvarumas nėra pagrindinis jos tikslas – prioritetas yra gynyba ir saugumas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