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0.7 %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3.49x</w:t>
            </w:r>
          </w:p>
          <w:p>
            <w:r>
              <w:rPr>
                <w:color w:val="5F6B7A"/>
                <w:sz w:val="16"/>
              </w:rPr>
              <w:t>▼ 0.01x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Adjusted EBITDA EUR 306.6m (+1.9%). Networks and Customers &amp; Solutions grew, Green Capacities declined (EUR 149.2m vs 166.6m)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guidance of EUR 550-600m reiterated; 6M equals 51-56% of it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1,925.3m (+0.7% since YE2025), net debt / Adjusted EBITDA 3.49x, FFO / net debt 22.2% (strategic target ≥23%)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unchanged:</w:t>
      </w:r>
      <w:r>
        <w:rPr>
          <w:b w:val="0"/>
        </w:rPr>
        <w:t xml:space="preserve"> S&amp;P BBB+ (stable, 2026-07-28), Moody's Baa1 (stable, first-time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Relevant for held bond XS1646530565 (2.000%, 2027-07-14):</w:t>
      </w:r>
      <w:r>
        <w:rPr>
          <w:b w:val="0"/>
        </w:rPr>
        <w:t xml:space="preserve"> tender offer announced on 2026-10-19, financed with a new EUR 300m 4.500% EuGB bond due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Adjusted net profit fell 20.8% to EUR 115.8m; Adjusted ROCE (LTM) 6.7% (8.6% a year earlier)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22.2%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6.7%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declined due to weaker wind in Q1-Q2 and a lower hedge price (EUR 130 → 82/MWh)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weapons, tobacco or gambling. No coal generation and no oil &amp; gas exploration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red flags (UNGC / OECD breaches) found in public sources and the news scan (2026-10-22). Ignitis states it upholds the UN Global Compact principles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(LT, LV, EE, EN; 30 days) found no adverse headlines.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EU Taxonomy-aligned capex 84.7% in 2025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SBTi-validated targets in line with 1.5°C; net zero by 2050 or sooner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Possible yellow flag: a contractor employee was fatally injured in February 2026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Scope 1 emissions rose 54.7% in 2025 due to higher gas generation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Fossil fuel policy - met (no coal, no oil &amp; gas exploration). Electricity &amp; renewables, climate and human rights policy content could not be read automatically (SEB PDFs block automated reading) - manual check needed.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need identified. Possible topics: share of gas generation and Scope 1 growth, contractor safety.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total GHG emissions 4.49m t CO2e (+10.1%)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carbon intensity (Scope 1+2) 214 g CO2e/kWh in Q1 2026 (−12.8%)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Taxonomy-aligned capex 84.7%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Exclusionary screening without findings (sanctions and media to be confirmed by the analyst). Positives: high Taxonomy-aligned capex, SBTi targets. Watch the share of gas generation and safety.</w:t>
      </w:r>
    </w:p>
    <w:p>
      <w:r>
        <w:rPr>
          <w:i/>
          <w:color w:val="5F6B7A"/>
          <w:sz w:val="16"/>
        </w:rPr>
        <w:t>SEB policies applied: Fossil Fuels (coal, oil &amp; gas, peat) sector policy; Electricity &amp; Renewable Energy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(verify revenue and net profit in the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