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0,7 %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3,49x</w:t>
            </w:r>
          </w:p>
          <w:p>
            <w:r>
              <w:rPr>
                <w:color w:val="5F6B7A"/>
                <w:sz w:val="16"/>
              </w:rPr>
              <w:t>▼ 0,01x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koreguota EBITDA – 306,6 mln. EUR (+1,9 %). Augo Tinklai ir Klientai ir sprendimai, mažėjo Žalioji generacija (149,2 mln. EUR, 2025 m. – 166,6 mln.)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m. prognozė 550–600 mln. EUR patvirtinta; per pusmetį pasiekta 51–56 % jos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1 925,3 mln. EUR (+0,7 % nuo 2025 m. pabaigos), grynoji skola / koreguota EBITDA 3,49x, FFO / grynoji skola 22,2 % (strateginis tikslas ≥23 %)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nepakito:</w:t>
      </w:r>
      <w:r>
        <w:rPr>
          <w:b w:val="0"/>
        </w:rPr>
        <w:t xml:space="preserve"> S&amp;P BBB+ (stabili, 2026-07-28),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Svarbu turimai obligacijai XS1646530565 (2,000 %, 2027-07-14): 2026-10-19 paskelbtas supirkimo pasiūlymas (tender offer), finansuojamas nauja 300 mln. EUR 4,500 % EuGB obligacija iki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Koreguotas grynasis pelnas sumažėjo 20,8 % iki 115,8 mln. EUR; koreguota ROCE (12 mėn.) – 6,7 % (buvo 8,6 %)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22,2 %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6,7 %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Ginklų, tabako ir lošimų veiklos nėra. Anglies generacijos nėra, naftos ir dujų žvalgybos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 Ignitis skelbia, kad laikosi UN Global Compact principų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(LT, LV, EE, EN; 30 d.) neigiamų antraščių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 patvirtino tikslus pagal 1,5 °C trajektoriją; nulinė emisija iki 2050 m. ar anksčiau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Galimas geltonas signalas: 2026 m. vasarį žuvo rangovo darbuotojas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1 apimties emisijos 2025 m. išaugo 54,7 % dėl didesnės dujų generacijos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Iškastinio kuro politika – atitinka (anglies ir naftos / dujų žvalgybos nėra). Elektros ir atsinaujinančios energijos, klimato ir žmogaus teisių politikų turinys automatiškai neperskaitytas (SEB PDF blokuoja automatinį skaitymą) – reikia rankinės patikros.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Būtinybės nenustatyta. Galimos temos: dujų generacijos dalis ir 1 apimties emisijų augimas, rangovų sauga.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bendros ŠESD emisijos 4,49 mln. t CO2e (+10,1 %)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anglies intensyvumas (1+2) 214 g CO2e/kWh I ketv. 2026 (−12,8 %)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taksonomiją atitinkančios investicijos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patikra be pastabų (sankcijas ir žiniasklaidą patvirtina analitikas). Teigiama: didelė taksonomiją atitinkančių investicijų dalis, SBTi tikslai. Stebėti dujų generacijos dalį ir saugą.</w:t>
      </w:r>
    </w:p>
    <w:p>
      <w:r>
        <w:rPr>
          <w:i/>
          <w:color w:val="5F6B7A"/>
          <w:sz w:val="16"/>
        </w:rPr>
        <w:t>Taikytos SEB politikos: Fossil Fuels (coal, oil &amp; gas, peat) sector policy; Electricity &amp; Renewable Energy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(pajamas ir grynąjį pelną patikrinti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