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19,6 %</w:t>
            </w:r>
          </w:p>
          <w:p>
            <w:r>
              <w:rPr>
                <w:color w:val="5F6B7A"/>
                <w:sz w:val="16"/>
              </w:rPr>
              <w:t>▼ 0,6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187,0 %</w:t>
            </w:r>
          </w:p>
          <w:p>
            <w:r>
              <w:rPr>
                <w:color w:val="5F6B7A"/>
                <w:sz w:val="16"/>
              </w:rPr>
              <w:t>▲ 12,4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1H 2026 grynasis pelnas 72,0 mln. EUR (1H 2025 – 91,6 mln.), II ketv. – 37,4 mln. EUR (46,2 mln.); ROE 7,7 %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aukšti:</w:t>
      </w:r>
      <w:r>
        <w:rPr>
          <w:b w:val="0"/>
        </w:rPr>
        <w:t xml:space="preserve"> CET1 19,6 %, bendras kapitalas 23,7 %, MREL 36,34 % TREA (reikalavimas 23,69 % + buferiai), LCR 187,0 %, NSFR 142,3 %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Savininko keitimas:</w:t>
      </w:r>
      <w:r>
        <w:rPr>
          <w:b w:val="0"/>
        </w:rPr>
        <w:t xml:space="preserve"> 2026-07-20 paskelbta, kad OTP Bank įsigis 100 % Luminor Holding akcijų iš Blackstone konsorciumo ir DNB; reikia priežiūros institucijų leidimų. Po pranešimo Moody's patvirtino reitingą ir perspektyvą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Priežiūros institucija (ECB, 2026-07-17) leido sumažinti CET1 kapitalą 200,0 mln. EUR; tikimasi IV ketv.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Finansavimas:</w:t>
      </w:r>
      <w:r>
        <w:rPr>
          <w:b w:val="0"/>
        </w:rPr>
        <w:t xml:space="preserve"> 1H 2026 išpirkta 300 mln. EUR pirmaeilė obligacija (MS+4,471 %) ir išleista pirmoji 500 mln. EUR senior non-preferred obligacija (MS+1,28 %)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7,750 %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65,5 %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19,6 %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23,7 %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9,9 %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187,0 %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142,3 %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2,1 %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trys terminuotos obligacijos (7,75 % 2027, 4,042 % 2028, 3,551 % 2029) ir neterminuota 7,375 % obligacija. Rangas (senior / SNP / AT1), sumos ir pirkimo datos emitento sąraše nenurodyti – patikrinti galutines sąlygas (Final Terms)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patikrinti obligacijų sąlygas dėl kontrolės pasikeitimo ir naujo savininko reitingo poveikį. XS3079969104 – emitento sąraše išpirkimas nurodytas 2028-06-12, pavadinime – 2029 (galimai pirkimo opcionas 2028)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Bankas pats šiuose sektoriuose neveikia. Informacijos apie skolinimo šiems sektoriams apribojimus automatiškai nerasta (luminor tvarumo puslapiai nenuskaitomi)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2026 m. raudonų signalų greitoje paieškoje nerasta (2026-10-22). Rekomenduojama patikrinti pinigų plovimo prevencijos istoriją.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 Pastaba: naujas savininkas – OTP Bank (Vengrija)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Automatinė naujienų paieška (30 d.) neigiamų antraščių nerado; daugiausia naujienų apie OTP sandorį.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Žaliųjų paskolų / obligacijų, ESG reitingo ar ESG politikos duomenų automatiškai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Finansuojamų emisijų tikslų, nulinės emisijos ar NZBA įsipareigojimo automatiškai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Geltonų signalų greitoje paieškoje nerasta; savininko keitimas (OTP) gali pakeisti ESG politikas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SEB neturi atskiros finansų sektoriaus politikos – taikomos bendros taisyklės (UNGC, OECD, žmogaus teisės, Paryžiaus tikslai). Banko duomenų jų vertinimui automatiškai rasta per mažai.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Siūlomi klausimai: finansuojamų emisijų atskleidimas, iškastinio kuro skolinimo politika, ESG politikos po OTP įsigijimo.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PAI rodiklių (finansuojamos emisijos, valdybos lyčių įvairovė ir kt.) automatiškai nerasta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Automatiškai rasta per mažai ESG įrodymų; dauguma punktų – rankinei peržiūrai pagal 2025 m. metinę ataskaitą. Stebėti ESG politikas po OTP įsigijimo.</w:t>
      </w:r>
    </w:p>
    <w:p>
      <w:r>
        <w:rPr>
          <w:i/>
          <w:color w:val="5F6B7A"/>
          <w:sz w:val="16"/>
        </w:rPr>
        <w:t>Taikytos SEB politikos: Financial sector - no dedicated SEB sector policy (general rules applied); Social and Human Rights Policy; Anti-corruption, Code of Conduct, Tax; Environmental Policy on Climate, Nature and Water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