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Port of Tallinn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Credit rating not found in public sources reviewed - check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Q3 2026 results - expected November 2026</w:t>
      </w:r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Revenue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30"/>
              </w:rPr>
              <w:t>59.3 EUR m</w:t>
            </w:r>
          </w:p>
          <w:p>
            <w:r>
              <w:rPr>
                <w:color w:val="5F6B7A"/>
                <w:sz w:val="16"/>
              </w:rPr>
              <w:t>▲ 2.4 %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Adjusted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30"/>
              </w:rPr>
              <w:t>25.8 EUR m</w:t>
            </w:r>
          </w:p>
          <w:p>
            <w:r>
              <w:rPr>
                <w:color w:val="5F6B7A"/>
                <w:sz w:val="16"/>
              </w:rPr>
              <w:t>▼ 13.4 %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30"/>
              </w:rPr>
              <w:t>6.0 EUR m</w:t>
            </w:r>
          </w:p>
          <w:p>
            <w:r>
              <w:rPr>
                <w:color w:val="5F6B7A"/>
                <w:sz w:val="16"/>
              </w:rPr>
              <w:t>▼ 41.7 %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30"/>
              </w:rPr>
              <w:t>2.78x</w:t>
            </w:r>
          </w:p>
          <w:p>
            <w:r>
              <w:rPr>
                <w:color w:val="5F6B7A"/>
                <w:sz w:val="16"/>
              </w:rPr>
              <w:t>▲ 0.27x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 w:val="0"/>
        </w:rPr>
        <w:t>6M revenue EUR 59.3m (+2.4%), adjusted EBITDA EUR 25.8m (−13.5%), margin 43.5% (51.5%), net profit EUR 6.0m (−41.7%)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According to the CEO, rising fuel prices and extraordinary ship repairs caused by ice conditions reduced Q2 profitability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Debt stable:</w:t>
      </w:r>
      <w:r>
        <w:rPr>
          <w:b w:val="0"/>
        </w:rPr>
        <w:t xml:space="preserve"> net debt EUR 145.8m, net debt / LTM adjusted EBITDA 2.78x, equity ratio 59.8% (both ratios calculated by the tool)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Dividend EUR 0.073 per share, EUR 19.2m in total - 85% of 2025 profit (policy: at least 70%); paid 2026-05-20</w:t>
      </w:r>
      <w:hyperlink r:id="rId11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The Republic of Estonia holds 67.03%</w:t>
      </w:r>
      <w:hyperlink r:id="rId11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Former executives' bribery case: on 2024-06-27 the court acquitted on limitation grounds; prosecution and defence appealed, later ruling not found - needs review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2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Revenue,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119.6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118.7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57.9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59.3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EBITDA,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53.1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56.5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29.8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25.8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EBITDA margin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44.4%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47.6%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51.5%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43.5%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Operating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29.1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32.7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18.3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13.6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19.2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22.5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10.3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6.0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Investments,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38.8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33.2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12.0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3.5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141.7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143.7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145.8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 / EBITDA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2.51xᶜ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2.78xᶜ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 ratio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61.2%ᶜ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59.8%ᶜ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Cargo volume, m t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6.83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6.48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Passengers, m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3.66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3.59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 per share, EUR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</w:tr>
    </w:tbl>
    <w:p>
      <w:r>
        <w:rPr>
          <w:i/>
          <w:color w:val="5F6B7A"/>
          <w:sz w:val="16"/>
        </w:rPr>
        <w:t>* – verify in the original;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Cargo 6.48m t (−5.0%), mainly liquid bulk (−33.8%); passengers 3.59m (−2.0%); vessel calls −4.8%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Cruise passengers +47.8%, cruise ship calls +29.3% (6M)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Ferries (Saaremaa, Hiiumaa):</w:t>
      </w:r>
      <w:r>
        <w:rPr>
          <w:b w:val="0"/>
        </w:rPr>
        <w:t xml:space="preserve"> Q2 trips +1.2%, passengers +1.8%; additional trips of ferry Regula agreed for summer</w:t>
      </w:r>
      <w:hyperlink r:id="rId1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Icebreaker Botnica charter 130 days (110)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Segments (6M, revenue / adj. EBITDA, EURm):</w:t>
      </w:r>
      <w:r>
        <w:rPr>
          <w:b w:val="0"/>
        </w:rPr>
        <w:t xml:space="preserve"> passenger harbours 18.9 / 9.6; cargo harbours 15.8 / 7.3; ferry 18.6 / 5.9; other 5.9 / 3.1</w:t>
      </w:r>
      <w:hyperlink r:id="rId1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Risks per the report:</w:t>
      </w:r>
      <w:r>
        <w:rPr>
          <w:b w:val="0"/>
        </w:rPr>
        <w:t xml:space="preserve"> the war in Ukraine reduces liquid bulk volumes; the US-Iran conflict and Strait of Hormuz blockade raise fuel costs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/>
        </w:rPr>
        <w:t>FY2025:</w:t>
      </w:r>
      <w:r>
        <w:rPr>
          <w:b w:val="0"/>
        </w:rPr>
        <w:t xml:space="preserve"> revenue EUR 118.7m (−0.8%), adjusted EBITDA EUR 56.5m (+6.4%), net profit EUR 22.5m (+17.3%), investments EUR 33.2m, free cash flow EUR 50.9m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6M investments EUR 3.5m (12.0m). The 2025 comparison includes a one-off EUR 0.9m gain on the land sale for the Rail Baltica station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3324"/>
        <w:gridCol w:w="3324"/>
        <w:gridCol w:w="3324"/>
      </w:tblGrid>
      <w:tr>
        <w:tc>
          <w:tcPr>
            <w:tcW w:type="dxa" w:w="3969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4082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1587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'The results of 2025 and the outlook for 2026 allow to continue and exceed the agreed dividend policy' (Feb 2026)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85% of profit paid (policy ≥70%)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587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3969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Scope 1+2 emissions −55% by 2030 (2019 base 33,086 t CO2e), climate-neutral operations by 2050</w:t>
            </w:r>
          </w:p>
        </w:tc>
        <w:tc>
          <w:tcPr>
            <w:tcW w:type="dxa" w:w="4082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2025: 19,261 t CO2e (−41.8% vs 2019; calculated by the tool, verify)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Outlook (2026-08): new ro-ro and container lines, Muuga industrial park, Old City Harbour real estate tender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- assess in the next review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 held:</w:t>
      </w:r>
      <w:r>
        <w:rPr>
          <w:b w:val="0"/>
        </w:rPr>
        <w:t xml:space="preserve"> shares (TSM1T, Nasdaq Tallinn). No bonds; borrowing is via loans (EUR 173.4m, of which 93.1m current)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 base:</w:t>
      </w:r>
      <w:r>
        <w:rPr>
          <w:b w:val="0"/>
        </w:rPr>
        <w:t xml:space="preserve"> dividends are based on prior-year profit; 6M profit EUR 6.0m (10.3m) - if the trend continues, the base for the 2027 dividend will be lower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EUR 93.1m of loans are current:</w:t>
      </w:r>
      <w:r>
        <w:rPr>
          <w:b w:val="0"/>
        </w:rPr>
        <w:t xml:space="preserve"> watch refinancing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strong balance sheet and stable debt, but 2026 profitability is declining due to fuel and repair costs and lower liquid bulk. Watch: 9M report, the ferry service contract, the outcome of the court case.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 w:val="0"/>
          <w:color w:val="333333"/>
          <w:sz w:val="19"/>
        </w:rPr>
        <w:t>Port operator, ferry services, icebreaker, real estate - no weapons, tobacco, gambling, coal or oil exploration</w:t>
      </w:r>
      <w:hyperlink r:id="rId11">
        <w:r>
          <w:rPr>
            <w:color w:val="2A78D6"/>
            <w:vertAlign w:val="superscript"/>
            <w:sz w:val="16"/>
          </w:rPr>
          <w:t xml:space="preserve">4</w:t>
        </w:r>
      </w:hyperlink>
      <w:r>
        <w:rPr>
          <w:b w:val="0"/>
          <w:color w:val="333333"/>
          <w:sz w:val="19"/>
        </w:rPr>
        <w:t>. Handles liquid bulk (oil products), volumes declining (−33.8% in 6M)</w:t>
      </w:r>
      <w:hyperlink r:id="rId11">
        <w:r>
          <w:rPr>
            <w:color w:val="2A78D6"/>
            <w:vertAlign w:val="superscript"/>
            <w:sz w:val="16"/>
          </w:rPr>
          <w:t xml:space="preserve">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Former executives' bribery case (from 2015): acquitted on limitation grounds 2024-06-27, appealed by prosecution and defence; later ruling not found. The company is the injured party, not a defendant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Checked by the analyst with internal tools (add a screenshot). Controlled by the Republic of Estonia (67.03%)</w:t>
      </w:r>
      <w:hyperlink r:id="rId11">
        <w:r>
          <w:rPr>
            <w:color w:val="2A78D6"/>
            <w:vertAlign w:val="superscript"/>
            <w:sz w:val="16"/>
          </w:rPr>
          <w:t xml:space="preserve">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issues were not identified from adverse media checks (add a screenshot)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Found (EE media): the bribery case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 The automatic news scan (30 days) found no newer adverse news. Analyst confirms and adds a screenshot.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 w:val="0"/>
          <w:color w:val="333333"/>
          <w:sz w:val="19"/>
        </w:rPr>
        <w:t>Voluntary 2025 sustainability report following CSRD/ESRS principles</w:t>
      </w:r>
      <w:hyperlink r:id="rId19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; target of 90% renewable energy for own use</w:t>
      </w:r>
      <w:hyperlink r:id="rId17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 w:val="0"/>
          <w:color w:val="333333"/>
          <w:sz w:val="19"/>
        </w:rPr>
        <w:t>Climate-neutral operations by 2050; Scope 1+2 −55% by 2030 (vs 2019); 2025: 19,261 t CO2e (−41.8%, calculated by the tool)</w:t>
      </w:r>
      <w:hyperlink r:id="rId17">
        <w:r>
          <w:rPr>
            <w:color w:val="2A78D6"/>
            <w:vertAlign w:val="superscript"/>
            <w:sz w:val="16"/>
          </w:rPr>
          <w:t xml:space="preserve">13</w:t>
        </w:r>
      </w:hyperlink>
      <w:r>
        <w:rPr>
          <w:b w:val="0"/>
          <w:color w:val="333333"/>
          <w:sz w:val="19"/>
        </w:rPr>
        <w:t>. EU Taxonomy share not found.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yellow flag/signal related to controversies based on UN Global Compact or any other relevant principles/standards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Yellow flag - the unresolved bribery case of former executives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fulfills the expectations from SEB thematic and sector policies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SEB shipping and transportation policy content could not be read automatically (SEB PDFs block automated reading). Known: SEB follows the Poseidon Principles, shipping target AER −41% by 2030. Manual check needed.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Suggested topics: ferry fuel emissions and costs, pathway to −55% by 2030, anti-corruption controls after the case.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indicators of the company support the targets of sustainability and PAI indicators followed by the Fund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Available PAI data: Scope 1+2 emissions 19,261 t CO2e (2025)</w:t>
      </w:r>
      <w:hyperlink r:id="rId20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 Comparison with the Fund's targets - analyst.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excluded sectors; positives are emission targets and sustainability reporting. Review the outcome of the bribery case and fit with SEB shipping / transportation policies.</w:t>
      </w:r>
    </w:p>
    <w:p>
      <w:r>
        <w:rPr>
          <w:i/>
          <w:color w:val="5F6B7A"/>
          <w:sz w:val="16"/>
        </w:rPr>
        <w:t>SEB policies applied: Shipping sector policy; Transportation sector policy; Environmental Policy on Climate, Nature and Water; Social and Human Rights Policy; Anti-corruption, Code of Conduct, Tax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1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1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1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3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4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5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1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1">
        <w:r>
          <w:rPr>
            <w:color w:val="2A78D6"/>
            <w:sz w:val="17"/>
          </w:rPr>
          <w:t xml:space="preserve">AS Tallinna Sadam - Interim report Q2 and 6M 2026 (verify),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1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7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8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19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7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0">
        <w:r>
          <w:rPr>
            <w:color w:val="2A78D6"/>
            <w:sz w:val="17"/>
          </w:rPr>
          <w:t xml:space="preserve">Sustainability Report 2025, p. 22, 2026-04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Port of Tallinn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ts.ee/en/investor/stock-exchange-info/" TargetMode="External"/><Relationship Id="rId11" Type="http://schemas.openxmlformats.org/officeDocument/2006/relationships/hyperlink" Target="https://ml-eu.globenewswire.com/Resource/Download/bfd79dd4-0a64-4f1a-bf21-dcb2548a7586" TargetMode="External"/><Relationship Id="rId12" Type="http://schemas.openxmlformats.org/officeDocument/2006/relationships/hyperlink" Target="https://www.inderes.fi/en/releases/as-tallinna-sadam-financial-results-for-2026-q2-and-6-months" TargetMode="External"/><Relationship Id="rId13" Type="http://schemas.openxmlformats.org/officeDocument/2006/relationships/hyperlink" Target="https://www.err.ee/1609405501/tallinna-sadama-kaasuses-oigeksmoistetute-kaitsjad-vaidlustasid-kohtuotsuse" TargetMode="External"/><Relationship Id="rId14" Type="http://schemas.openxmlformats.org/officeDocument/2006/relationships/hyperlink" Target="https://www.err.ee/1609408312/riigiprokuratuur-vaidlustas-tallinna-sadama-kohtuotsuse" TargetMode="External"/><Relationship Id="rId15" Type="http://schemas.openxmlformats.org/officeDocument/2006/relationships/hyperlink" Target="https://www.ts.ee/wp-content/uploads/2026/02/2025-Q4-Webinar.pdf" TargetMode="External"/><Relationship Id="rId16" Type="http://schemas.openxmlformats.org/officeDocument/2006/relationships/image" Target="media/image1.png"/><Relationship Id="rId17" Type="http://schemas.openxmlformats.org/officeDocument/2006/relationships/hyperlink" Target="https://www.ts.ee/wp-content/uploads/2026/04/Sustainability_Report_2025.pdf#page=19" TargetMode="External"/><Relationship Id="rId18" Type="http://schemas.openxmlformats.org/officeDocument/2006/relationships/hyperlink" Target="https://www.ts.ee/wp-content/uploads/2019/12/Q2-2026-webinar-ENG.pdf" TargetMode="External"/><Relationship Id="rId19" Type="http://schemas.openxmlformats.org/officeDocument/2006/relationships/hyperlink" Target="https://www.ts.ee/wp-content/uploads/2026/04/Sustainability_Report_2025.pdf" TargetMode="External"/><Relationship Id="rId20" Type="http://schemas.openxmlformats.org/officeDocument/2006/relationships/hyperlink" Target="https://www.ts.ee/wp-content/uploads/2026/04/Sustainability_Report_2025.pdf#page=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