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Credit rating not found in public sources reviewed - check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results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59,3 mln. EUR</w:t>
            </w:r>
          </w:p>
          <w:p>
            <w:r>
              <w:rPr>
                <w:color w:val="5F6B7A"/>
                <w:sz w:val="16"/>
              </w:rPr>
              <w:t>▲ 2,4 %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25,8 mln. EUR</w:t>
            </w:r>
          </w:p>
          <w:p>
            <w:r>
              <w:rPr>
                <w:color w:val="5F6B7A"/>
                <w:sz w:val="16"/>
              </w:rPr>
              <w:t>▼ 13,4 %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6,0 mln. EUR</w:t>
            </w:r>
          </w:p>
          <w:p>
            <w:r>
              <w:rPr>
                <w:color w:val="5F6B7A"/>
                <w:sz w:val="16"/>
              </w:rPr>
              <w:t>▼ 41,7 %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2,78x</w:t>
            </w:r>
          </w:p>
          <w:p>
            <w:r>
              <w:rPr>
                <w:color w:val="5F6B7A"/>
                <w:sz w:val="16"/>
              </w:rPr>
              <w:t>▲ 0,27x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 w:val="0"/>
        </w:rPr>
        <w:t>6 mėn. pajamos 59,3 mln. EUR (+2,4 %), koreguota EBITDA 25,8 mln. EUR (−13,5 %), marža 43,5 % (51,5 %), grynasis pelnas 6,0 mln. EUR (−41,7 %)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Vadovo teigimu, pelningumą II ketv. sumažino kylančios kuro kainos ir neplanuoti laivų remontai po ledo sąlygų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stabili:</w:t>
      </w:r>
      <w:r>
        <w:rPr>
          <w:b w:val="0"/>
        </w:rPr>
        <w:t xml:space="preserve"> grynoji skola 145,8 mln. EUR, grynoji skola / 12 mėn. koreguota EBITDA 2,78x, nuosavo kapitalo dalis 59,8 % (abu rodikliai apskaičiuoti įrankio)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Dividendai 0,073 EUR akcijai, iš viso 19,2 mln. EUR – 85 % 2025 m. pelno (politika – ne mažiau 70 %); išmokėta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Estijos valstybė valdo 67,03 %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byla: 2024-06-27 teismas išteisino dėl senaties; prokuratūra ir gynyba apskundė, vėlesnis sprendimas nerastas – reikia peržiūrėti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Koreguotos EBITDA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43,5 %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Veiklos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6,0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145,8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2,78xᶜ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59,8 %ᶜ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Krovinių kiekis, mln. 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6,48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Keleiviai, mln.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3,59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Kroviniai 6,48 mln. t (−5,0 %), daugiausia dėl skystų krovinių (−33,8 %); keleiviai 3,59 mln. (−2,0 %); laivų įplaukimai −4,8 %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Kruizų keleiviai +47,8 %, kruizinių laivų įplaukimai +29,3 % (6 mėn.)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Ledlaužio „Botnica“ frachtas 130 d. (110 d.)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Išmokėta 85 % pelno (politika ≥70 %)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– 19 261 t CO2e (−41,8 % nuo 2019 m.; apskaičiuota įrankio, patikrinti)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– vertinti kitoje apžvalgoje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Uosto operatorius, keltų paslaugos, ledlaužis, nekilnojamasis turtas – ginklų, tabako, lošimų, anglies ar naftos žvalgybos veiklos nėra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 Krauna skystus krovinius (naftos produktus), jų kiekis mažėja (−33,8 % per 6 mėn.)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Buvusių vadovų kyšininkavimo byla (pradėta 2015 m.): 2024-06-27 teismas išteisino dėl senaties, prokuratūra ir gynyba apskundė; vėlesnis sprendimas nerastas. Įmonė byloje – nukentėjusioji, ne kaltinamoji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Tikrina analitikas vidinėmis priemonėmis (pridėti ekrano nuotrauką). Valdo Estijos valstybė (67,03 %)</w:t>
      </w:r>
      <w:hyperlink r:id="rId11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Rasta (EE žiniasklaida): kyšininkavimo byla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 Naujesnių neigiamų naujienų automatinė paieška (30 d.) nerado. Analitikas patvirtina ir prideda ekrano nuotrauką.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Savanoriška 2025 m. tvarumo ataskaita pagal CSRD/ESRS principus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tikslas 90 % atsinaujinančios energijos savo reikmėms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Klimato neutrali veikla iki 2050 m.; 1+2 apimties emisijos −55 % iki 2030 m. (nuo 2019 m.); 2025 m. – 19 261 t CO2e (−41,8 %, apskaičiuota įrankio)</w:t>
      </w:r>
      <w:hyperlink r:id="rId17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b w:val="0"/>
          <w:color w:val="333333"/>
          <w:sz w:val="19"/>
        </w:rPr>
        <w:t>. ES taksonomijos dalis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Geltonas signalas – neužbaigta buvusių vadovų kyšininkavimo byla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SEB laivybos ir transporto politikų turinys automatiškai neperskaitytas (SEB PDF blokuoja automatinį skaitymą). Žinoma: SEB laikosi Poseidon principų, laivybos tikslas – AER −41 % iki 2030 m. Reikia rankinės patikros.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Siūlomi klausimai: keltų kuro emisijos ir sąnaudos, kelias iki −55 % 2030 m., antikorupcijos priemonės po bylos.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Turimi PAI duomenys: 1+2 apimties emisijos 19 261 t CO2e (2025)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 Palyginti su fondo tikslais – analitikas.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Išskirtinių sektorių nėra; teigiama – emisijų tikslai ir tvarumo ataskaita. Peržiūrėti kyšininkavimo bylos baigtį ir SEB laivybos / transporto politikų atitiktį.</w:t>
      </w:r>
    </w:p>
    <w:p>
      <w:r>
        <w:rPr>
          <w:i/>
          <w:color w:val="5F6B7A"/>
          <w:sz w:val="16"/>
        </w:rPr>
        <w:t>Taikytos SEB politikos: Shipping sector policy; Transportation sector policy; Environmental Policy on Climate, Nature and Water; Social and Human Rights Policy; Anti-corruption, Code of Conduct, Tax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 (patikrinti),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