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0,7 %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▼ 0,01x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2026 m. prognozė 550–600 mln. EUR palikta, maždaug pusė jos jau pasiekta (51–56 %)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0,7 %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3,49x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0,01x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22,2 %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6,7 %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5,7 %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1,0 %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0,0 % vs FY2025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2,1 GW įrengta + 0,7 GW statoma = 2,8 GW, t. y. tikslo apatinė riba (apskaičiuota įrankio)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26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Ginklų, tabako ir lošimų veiklos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generacijos nėra, naftos ir dujų žvalgybos nėra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skelbia, kad laikosi UN Global Compact principų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Tikrina analitikas vidinėmis priemonėmis (pridėti ekrano nuotrauką).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(LT, LV, EE, EN; 30 d.) neigiamų antraščių nerado.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 patvirtino tikslus pagal 1,5 °C trajektoriją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Nulinė emisija iki 2050 m. ar anksčiau</w:t>
      </w:r>
      <w:hyperlink r:id="rId32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Galimas geltonas signalas: 2026 m. vasarį žuvo rangovo darbuotojas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1 apimties emisijos 2025 m. išaugo 54,7 % dėl didesnės dujų generacijos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investicijų politika</w:t>
      </w:r>
      <w:hyperlink r:id="rId33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, elektros ir atsinaujinančios energetikos politika, nes žalioji gamyba ir tinklai sudaro daugiau nei 15 % pajamų</w:t>
      </w:r>
      <w:hyperlink r:id="rId34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, ir iškastinio kuro politika dėl dujų skirstymo, dujų tiekimo ir Elektrėnų rezervinių elektrinių.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Dujų pajamų dalis nerasta</w:t>
      </w:r>
      <w:hyperlink r:id="rId35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Reikalavimai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Atskleistos 1–3 apimties emisijos (4,49 mln. t CO2e 2025 m.) ir SBTi patvirtinti 1,5 °C tikslai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aplinkosaugos vadyba ESO, „Ignitis gamyboje“, „Ignitis“ bei Vilniaus ir Kauno kogeneracinėse jėgainėse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Anglies, durpių ar naftos ir dujų gavybos nėra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Lūkesčiai įvykdyti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saugos vadyba, 2025 m. mirtinų nelaimingų atsitikimų nebuvo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color w:val="2A78D6"/>
          <w:vertAlign w:val="superscript"/>
        </w:rPr>
        <w:t>,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Pasitikėjimo linija anoniminiams pranešimams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politika ir ISO 37001 sertifikatas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Pasaulinis susitarimas</w:t>
      </w:r>
      <w:hyperlink r:id="rId37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Integruota metinė ataskaita su klimato duomenimis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Biologinės įvairovės stebėsena ir poveikio mažinimo priemonės</w:t>
      </w:r>
      <w:hyperlink r:id="rId41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Nerasta / patikrinti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Įvardyto žmogaus teisių patikrinimo proceso ir kiekybinių biologinės įvairovės tikslų</w:t>
      </w:r>
      <w:hyperlink r:id="rId34">
        <w:r>
          <w:rPr>
            <w:color w:val="2A78D6"/>
            <w:vertAlign w:val="superscript"/>
            <w:sz w:val="16"/>
          </w:rPr>
          <w:t xml:space="preserve">39</w:t>
        </w:r>
      </w:hyperlink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Ataskaitos apie pelno mokestį pagal šalis (nurodyta</w:t>
      </w:r>
      <w:hyperlink r:id="rId42">
        <w:r>
          <w:rPr>
            <w:color w:val="2A78D6"/>
            <w:vertAlign w:val="superscript"/>
            <w:sz w:val="16"/>
          </w:rPr>
          <w:t xml:space="preserve">40</w:t>
        </w:r>
      </w:hyperlink>
      <w:r>
        <w:rPr>
          <w:b w:val="0"/>
          <w:color w:val="333333"/>
          <w:sz w:val="19"/>
        </w:rPr>
        <w:t>, neperskaityta).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Būtinybės nenustatyta.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Galimos temos: dujų generacijos dalis ir 1 apimties emisijų augimas, rangovų sauga.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Turimi PAI duomenys: bendros ŠESD emisijos 4,49 mln. t CO2e (+10,1 %)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Anglies intensyvumas (1+2) 214 g CO2e/kWh I ketv.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2026 (−12,8 %)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Taksonomiją atitinkančios investicijos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patikra be pastabų (sankcijas ir žiniasklaidą patvirtina analitikas). Teigiama: didelė taksonomiją atitinkančių investicijų dalis, SBTi tikslai. Stebėti dujų generacijos dalį ir saugą.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(pajamas ir grynąjį pelną patikrinti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4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5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7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1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2">
        <w:r>
          <w:rPr>
            <w:color w:val="2A78D6"/>
            <w:sz w:val="17"/>
          </w:rPr>
          <w:t xml:space="preserve">Integrated Annual Report 2025, p. 429,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webapp.sebgroup.com/mb/mblib.nsf/dld/60D2454400789893C12587D70030AFC1?opendocument" TargetMode="External"/><Relationship Id="rId35" Type="http://schemas.openxmlformats.org/officeDocument/2006/relationships/hyperlink" Target="https://ignitisgrupe.lt/sites/default/files/public/inline-files/Integrated%20Annual%20Report%202025.pdf#page=24" TargetMode="External"/><Relationship Id="rId36" Type="http://schemas.openxmlformats.org/officeDocument/2006/relationships/hyperlink" Target="https://webapp.sebgroup.com/mb/mblib.nsf/dld/80AF6A2E5F88CDC2C12586B1002E33C2?opendocument" TargetMode="External"/><Relationship Id="rId37" Type="http://schemas.openxmlformats.org/officeDocument/2006/relationships/hyperlink" Target="https://ignitisgrupe.lt/sites/default/files/public/inline-files/Integrated%20Annual%20Report%202025.pdf#page=8" TargetMode="External"/><Relationship Id="rId38" Type="http://schemas.openxmlformats.org/officeDocument/2006/relationships/hyperlink" Target="https://ignitisgrupe.lt/tvarumo-valdymas/politikos-ir-sertifikatai" TargetMode="External"/><Relationship Id="rId39" Type="http://schemas.openxmlformats.org/officeDocument/2006/relationships/hyperlink" Target="https://ignitisgrupe.lt/sites/default/files/public/inline-files/Integrated%20Annual%20Report%202025.pdf#page=16" TargetMode="External"/><Relationship Id="rId40" Type="http://schemas.openxmlformats.org/officeDocument/2006/relationships/hyperlink" Target="https://ignitisgrupe.lt/tvarumo-prioritetai/verslo-etika" TargetMode="External"/><Relationship Id="rId41" Type="http://schemas.openxmlformats.org/officeDocument/2006/relationships/hyperlink" Target="https://ignitisgrupe.lt/tvarumo-prioritetai/gamta" TargetMode="External"/><Relationship Id="rId42" Type="http://schemas.openxmlformats.org/officeDocument/2006/relationships/hyperlink" Target="https://ignitisgrupe.lt/sites/default/files/public/inline-files/Integrated%20Annual%20Report%202025.pdf#page=4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