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0.6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12.4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XS2633112565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7.75%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7.750%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2027-06-08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Placements page shows 12.06.2028 in maturity column but 2029 in name - likely call 2028 / final 2029; check Final Terms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7.375% perpetual (AT1?)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Perpetual; annual report mentions inaugural EUR 150m AT1 in 2025 - link to this ISIN not confirmed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65.5%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19.6%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0.6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0.9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9.9%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187.0%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12.4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142.3%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8.2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2.1%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three dated bonds (7.75% 2027, 4.042% 2028, 3.551% 2029) and a perpetual 7.375% bond. Ranking (senior / SNP / AT1), amounts and call dates are not on the issuer's list - check the Final Terms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check bond terms for change of control and the effect of the new owner's rating. XS3079969104 - the issuer list shows maturity 2028-06-12 but 2029 in the name (possibly a 2028 call)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itself is not active in these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information on lending restrictions to them found automatically (Luminor sustainability pages not readable) - check the 2025 annual report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2026 red flags found in a quick search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Recommended to check AML history.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Checked by the analyst with internal tools (add a screenshot).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Note: new owner OTP Bank (Hungary)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automatic news scan (30 days) found no adverse headlines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the OTP deal.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EUR 305.4m in 2025 (EUR 182.4m in 2024), target EUR 700m by 2030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financed-emissions targets, net zero or NZBA commitment found automatically.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 in a quick search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change of owner (OTP) may change ESG policies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breach of governance or international norms found (quick search,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disclosed using PCAF (Scope 3 3.2m t CO2e in 2025)</w:t>
      </w:r>
      <w:hyperlink r:id="rId24">
        <w:r>
          <w:rPr>
            <w:color w:val="2A78D6"/>
            <w:vertAlign w:val="superscript"/>
            <w:sz w:val="16"/>
          </w:rPr>
          <w:t xml:space="preserve">18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lending EUR 305.4m, target EUR 700m by 2030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commitment</w:t>
      </w:r>
      <w:hyperlink r:id="rId25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compliance</w:t>
      </w:r>
      <w:hyperlink r:id="rId25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Anti-bribery measures and whistleblowing channels (from summary, verify)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Not found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published lending exclusion list (coal, oil &amp; gas, weapons) and UN Global Compact / UNEP FI PRB membership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Check Luminor's sustainability policy and transition plan principles.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Suggested topics: financed-emissions disclosure, fossil fuel lending policy, ESG policies after the OTP acquisition.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PAI indicators (financed emissions, board gender diversity, etc.) not found automatically - check the 2025 annual report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Too little ESG evidence found automatically; most items need manual review based on the 2025 annual report. Watch ESG policies after the OTP acquisition.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5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lv/sites/default/files/docs/finansu_parskati/luminor_bank_interim_report_2q26.pdf" TargetMode="External"/><Relationship Id="rId14" Type="http://schemas.openxmlformats.org/officeDocument/2006/relationships/hyperlink" Target="https://luminor.lv/sites/default/files/docs/finansu_parskati/luminor_bank_interim_report_2q26.pdf#page=4" TargetMode="External"/><Relationship Id="rId15" Type="http://schemas.openxmlformats.org/officeDocument/2006/relationships/hyperlink" Target="https://luminor.lv/sites/default/files/docs/finansu_parskati/luminor_bank_annual_report_2025-lv.pdf#page=7" TargetMode="External"/><Relationship Id="rId16" Type="http://schemas.openxmlformats.org/officeDocument/2006/relationships/hyperlink" Target="https://luminor.lv/sites/default/files/docs/finansu_parskati/luminor_bank_interim_report_2q26.pdf#page=16" TargetMode="External"/><Relationship Id="rId17" Type="http://schemas.openxmlformats.org/officeDocument/2006/relationships/hyperlink" Target="https://luminor.lv/sites/default/files/docs/finansu_parskati/luminor_bank_annual_report_2025-lv.pdf#page=8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luminor.lv/sites/default/files/docs/finansu_parskati/luminor_bank_annual_report_2025-lv.pdf" TargetMode="External"/><Relationship Id="rId20" Type="http://schemas.openxmlformats.org/officeDocument/2006/relationships/hyperlink" Target="https://luminor.lv/sites/default/files/docs/finansu_parskati/luminor_bank_annual_report_2025-lv.pdf#page=5" TargetMode="External"/><Relationship Id="rId21" Type="http://schemas.openxmlformats.org/officeDocument/2006/relationships/hyperlink" Target="https://luminor.lv/en/placements" TargetMode="External"/><Relationship Id="rId22" Type="http://schemas.openxmlformats.org/officeDocument/2006/relationships/hyperlink" Target="https://luminor.lv/sites/default/files/docs/finansu_parskati/luminor_bank_annual_report_2025-lv.pdf#page=19" TargetMode="External"/><Relationship Id="rId23" Type="http://schemas.openxmlformats.org/officeDocument/2006/relationships/hyperlink" Target="https://sebgroup.com/sustainability/our-sustainability-strategy/policies" TargetMode="External"/><Relationship Id="rId24" Type="http://schemas.openxmlformats.org/officeDocument/2006/relationships/hyperlink" Target="https://luminor.lv/sites/default/files/docs/finansu_parskati/luminor_bank_annual_report_2025-lv.pdf#page=22" TargetMode="External"/><Relationship Id="rId25" Type="http://schemas.openxmlformats.org/officeDocument/2006/relationships/hyperlink" Target="https://luminor.lv/sites/default/files/docs/finansu_parskati/luminor_bank_annual_report_2025-lv.pdf#page=18" TargetMode="External"/><Relationship Id="rId26" Type="http://schemas.openxmlformats.org/officeDocument/2006/relationships/hyperlink" Target="https://luminor.lv/sites/default/files/docs/finansu_parskati/luminor_bank_annual_report_2025-lv.pdf#page=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