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Credit rating not found in public sources reviewed - check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results - expected November 2026</w:t>
      </w: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Pajamos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59,3 mln. EUR</w:t>
            </w:r>
          </w:p>
          <w:p>
            <w:r>
              <w:rPr>
                <w:color w:val="5F6B7A"/>
                <w:sz w:val="16"/>
              </w:rPr>
              <w:t>▲ 2,4 %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25,8 mln. EUR</w:t>
            </w:r>
          </w:p>
          <w:p>
            <w:r>
              <w:rPr>
                <w:color w:val="5F6B7A"/>
                <w:sz w:val="16"/>
              </w:rPr>
              <w:t>▼ 13,4 %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6,0 mln. EUR</w:t>
            </w:r>
          </w:p>
          <w:p>
            <w:r>
              <w:rPr>
                <w:color w:val="5F6B7A"/>
                <w:sz w:val="16"/>
              </w:rPr>
              <w:t>▼ 41,7 %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2,78x</w:t>
            </w:r>
          </w:p>
          <w:p>
            <w:r>
              <w:rPr>
                <w:color w:val="5F6B7A"/>
                <w:sz w:val="16"/>
              </w:rPr>
              <w:t>▲ 0,27x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apskaičiuoti įrankio)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Koreguotos EBITDA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43,5 %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Veiklos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1,4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Krovinių kiekis, mln. t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Keleiviai, mln.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Kroviniai 6,48 mln. t (−5,0 %), daugiausia dėl skystų krovinių (−33,8 %); keleiviai 3,59 mln. (−2,0 %); laivų įplaukimai −4,8 %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Kruizų keleiviai +47,8 %, kruizinių laivų įplaukimai +29,3 % (6 mėn.)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Ledlaužio „Botnica“ frachtas 130 d. (110 d.)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Išmokėta 85 % pelno (politika ≥70 %)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– 19 261 t CO2e (−41,8 % nuo 2019 m.; apskaičiuota įrankio, patikrinti)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iki 2025 m. pasiekta −41,8 %; iki 2030 m. reikia dar apie 13 p. p. (apskaičiuota įrankio)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– vertinti kitoje apžvalgoje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2026-08 perspektyvoje; dar nėra su kuo lyginti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Uosto operatorius, keltų paslaugos, ledlaužis, nekilnojamasis turtas – ginklų, tabako, lošimų, anglies ar naftos žvalgybos veiklos nėra</w:t>
      </w:r>
      <w:hyperlink r:id="rId11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Krauna skystus krovinius (naftos produktus), jų kiekis mažėja (−33,8 % per 6 mėn.)</w:t>
      </w:r>
      <w:hyperlink r:id="rId11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Buvusių vadovų kyšininkavimo byla (pradėta 2015 m.): 2024-06-27 teismas išteisino dėl senaties, prokuratūra ir gynyba apskundė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Vėlesnis sprendimas nerastas.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Įmonė byloje – nukentėjusioji, ne kaltinamoji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Tikrina analitikas vidinėmis priemonėmis (pridėti ekrano nuotrauką).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Valdo Estijos valstybė (67,03 %)</w:t>
      </w:r>
      <w:hyperlink r:id="rId11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Rasta (EE žiniasklaida): kyšininkavimo byla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Naujesnių neigiamų naujienų automatinė paieška (30 d.) nerado.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Analitikas patvirtina ir prideda ekrano nuotrauką.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Savanoriška 2025 m. tvarumo ataskaita pagal CSRD/ESRS principus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90 % atsinaujinančios energijos savo reikmėms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neutrali veikla iki 2050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1+2 apimties emisijos −55 % iki 2030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(nuo 2019 m.)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2025 m. – 19 261 t CO2e (−41,8 %, apskaičiuota įrankio)</w:t>
      </w:r>
      <w:hyperlink r:id="rId17">
        <w:r>
          <w:rPr>
            <w:color w:val="2A78D6"/>
            <w:vertAlign w:val="superscript"/>
            <w:sz w:val="16"/>
          </w:rPr>
          <w:t xml:space="preserve">13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 taksonomijos dalis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Geltonas signalas – neužbaigta buvusių vadovų kyšininkavimo byla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investicijų politika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 xml:space="preserve"> ir laivybos politika, nes keltų segmentas sudaro 31,4 % 6 mėn.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2026 m. pajamų, daugiau nei 15 % riba (apskaičiuota įrankio)</w:t>
      </w:r>
      <w:hyperlink r:id="rId11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Transporto politika netaikoma (tik kelių, geležinkelių ir oro transportas)</w:t>
      </w:r>
      <w:hyperlink r:id="rId22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Bendrovės valdymo ar tarptautinių normų pažeidimų nerasta (buvusių vadovų byloje ji – nukentėjusioji)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Kasmetinė tvarumo ataskaita su klimato duomenimis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neutralumas iki 2050 m. ir planas keltus perkelti prie alternatyvių kuro rūšių ar elektros – atitinka dekarbonizacijos plano lūkestį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Viešose ataskaitose nerasta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Laivybos reikalavimų – SEEMP, EEXI/CII atitikties, laivų emisijų intensyvumo atskleidimo, atsakingo laivų perdirbimo, klasifikacijos</w:t>
      </w:r>
      <w:hyperlink r:id="rId21">
        <w:r>
          <w:rPr>
            <w:color w:val="2A78D6"/>
            <w:vertAlign w:val="superscript"/>
            <w:sz w:val="16"/>
          </w:rPr>
          <w:t xml:space="preserve">22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Žmogaus teisių patikros, pranešėjų kanalo ir antikorupcijos politikos</w:t>
      </w:r>
      <w:hyperlink r:id="rId21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Neaišku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Skystų krovinių (naftos produktų) aptarnavimas – jei su iškastiniu kuru susijusios pajamos viršija 5 %, taikoma ir iškastinio kuro politika</w:t>
      </w:r>
      <w:hyperlink r:id="rId11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Analitikas tikrina TS Laevad laivų dokumentus.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Siūlomi klausimai: keltų kuro emisijos ir sąnaudos, kelias iki −55 % 2030 m., antikorupcijos priemonės po bylos.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Turimi PAI duomenys: 1+2 apimties emisijos 19 261 t CO2e (2025)</w:t>
      </w:r>
      <w:hyperlink r:id="rId26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Palyginti su fondo tikslais – analitikas.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Išskirtinių sektorių nėra; teigiama – emisijų tikslai ir tvarumo ataskaita. Peržiūrėti kyšininkavimo bylos baigtį ir SEB laivybos / transporto politikų atitiktį.</w:t>
      </w:r>
    </w:p>
    <w:p>
      <w:r>
        <w:rPr>
          <w:i/>
          <w:color w:val="5F6B7A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 (patikrinti),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1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2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1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1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4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11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5">
        <w:r>
          <w:rPr>
            <w:color w:val="2A78D6"/>
            <w:sz w:val="17"/>
          </w:rPr>
          <w:t xml:space="preserve">SEB Sector Policy on Fossil Fuels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6">
        <w:r>
          <w:rPr>
            <w:color w:val="2A78D6"/>
            <w:sz w:val="17"/>
          </w:rPr>
          <w:t xml:space="preserve">Sustainability Report 2025, p. 22, 2026-04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sebgroup.com/sustainability/our-sustainability-strategy/policies" TargetMode="External"/><Relationship Id="rId21" Type="http://schemas.openxmlformats.org/officeDocument/2006/relationships/hyperlink" Target="https://webapp.sebgroup.com/mb/mblib.nsf/dld/C882785365792AC9C12587D700312ACF?opendocument" TargetMode="External"/><Relationship Id="rId22" Type="http://schemas.openxmlformats.org/officeDocument/2006/relationships/hyperlink" Target="https://webapp.sebgroup.com/mb/mblib.nsf/dld/B1113F0C7B3136E4C12587D70030204B?opendocument" TargetMode="External"/><Relationship Id="rId23" Type="http://schemas.openxmlformats.org/officeDocument/2006/relationships/hyperlink" Target="https://www.ts.ee/wp-content/uploads/2026/04/Sustainability_Report_2025.pdf#page=18" TargetMode="External"/><Relationship Id="rId24" Type="http://schemas.openxmlformats.org/officeDocument/2006/relationships/hyperlink" Target="https://webapp.sebgroup.com/mb/mblib.nsf/dld/B6C87DACA17DDE3CC1258B5C006292E0?opendocument" TargetMode="External"/><Relationship Id="rId25" Type="http://schemas.openxmlformats.org/officeDocument/2006/relationships/hyperlink" Target="https://webapp.sebgroup.com/mb/mblib.nsf/dld/80AF6A2E5F88CDC2C12586B1002E33C2?opendocument" TargetMode="External"/><Relationship Id="rId26" Type="http://schemas.openxmlformats.org/officeDocument/2006/relationships/hyperlink" Target="https://www.ts.ee/wp-content/uploads/2026/04/Sustainability_Report_2025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